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68.4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4547235</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58.05pt" to="568.4pt,358.0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3635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3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6.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3635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3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6.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Επιλογές για το μέλλον (Long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18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Επιλογή Long Call σε 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δικαιώματα προαίρεσης επί συμβολαίων μελλοντικής εκπλήρωσης (a/k/a "futures options").</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είναι εισηγμένα και αποτελούν αντικείμενο διαπραγμάτευσης σε χρηματιστήρια συμβολαίων μελλοντικής εκπλήρωσης στις ΗΠΑ που είναι εγγεγραμμένα στην Επιτροπή Προθεσμιακών Συναλλαγών επί Εμπορευμάτων των ΗΠΑ ("CFTC") και εκδίδονται, εκκαθαρίζονται και διακανονίζονται από την OCC, έναν οργανισμό εκκαθάρισης παραγώγων που είναι εγγεγραμμένος στην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τα χρηματιστήρια συμβολαίων μελλοντικής εκπλήρωσης στις ΗΠΑ, οι επενδυτές μπορούν να επισκεφθούν τον δικτυακό τόπο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δικαιώματα προαίρεσης για συμβόλαια μελλοντικής εκπλήρωσης έως ότου διαβάσουν και κατανοήσουν το παρόν έγγραφο και τυχόν πρόσθετες γνωστοποιήσεις που παρέχει ο μεσίτης τους, η ουσία των οποίων μπορεί να περιλαμβάνει τη Δήλωση Γνωστοποίησης Κινδύνου της Εθνικής Ένωσης Συμβολαίων Μελλοντικής Εκπλήρωσης ("NFA") </w:t>
      </w:r>
      <w:r>
        <w:rPr xmlns:w="http://schemas.openxmlformats.org/wordprocessingml/2006/main">
          <w:rFonts w:ascii="Calibri" w:cs="Calibri" w:eastAsia="Calibri" w:hAnsi="Calibri"/>
          <w:sz w:val="22"/>
          <w:szCs w:val="22"/>
          <w:u w:val="single" w:color="auto"/>
          <w:color w:val="auto"/>
        </w:rPr>
        <w:t xml:space="preserve">για συμβόλαια μελλοντικής εκπλήρωσης επί τίτλων,</w:t>
      </w:r>
      <w:r>
        <w:rPr xmlns:w="http://schemas.openxmlformats.org/wordprocessingml/2006/main">
          <w:rFonts w:ascii="Calibri" w:cs="Calibri" w:eastAsia="Calibri" w:hAnsi="Calibri"/>
          <w:sz w:val="22"/>
          <w:szCs w:val="22"/>
          <w:color w:val="auto"/>
        </w:rPr>
        <w:t xml:space="preserve"> το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 </w:t>
      </w:r>
      <w:r>
        <w:rPr xmlns:w="http://schemas.openxmlformats.org/wordprocessingml/2006/main">
          <w:rFonts w:ascii="Calibri" w:cs="Calibri" w:eastAsia="Calibri" w:hAnsi="Calibri"/>
          <w:sz w:val="22"/>
          <w:szCs w:val="22"/>
          <w:color w:val="000000"/>
        </w:rPr>
        <w:t xml:space="preserve">και τα Ομοιόμορφα </w:t>
      </w:r>
      <w:r>
        <w:rPr xmlns:w="http://schemas.openxmlformats.org/wordprocessingml/2006/main">
          <w:rFonts w:ascii="Calibri" w:cs="Calibri" w:eastAsia="Calibri" w:hAnsi="Calibri"/>
          <w:sz w:val="22"/>
          <w:szCs w:val="22"/>
          <w:u w:val="single" w:color="auto"/>
          <w:color w:val="000000"/>
        </w:rPr>
        <w:t xml:space="preserve">συμβόλαια μελλοντικής εκπλήρωσης και δικαιώματα προαίρεσης της Ένωσης Προθεσμιακών Βιομηχανιών (Futures Industry Association)</w:t>
      </w:r>
      <w:r>
        <w:rPr xmlns:w="http://schemas.openxmlformats.org/wordprocessingml/2006/main">
          <w:rFonts w:ascii="Calibri" w:cs="Calibri" w:eastAsia="Calibri" w:hAnsi="Calibri"/>
          <w:sz w:val="22"/>
          <w:szCs w:val="22"/>
          <w:color w:val="000000"/>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Οι γνωστοποιήσεις στο παρόν θα πρέπει να ερμηνεύονται κατά τρόπο συνεπή με τις γνωστοποιήσεις αυτές.</w:t>
      </w:r>
      <w:r>
        <w:rPr xmlns:w="http://schemas.openxmlformats.org/wordprocessingml/2006/main">
          <w:rFonts w:ascii="Calibri" w:cs="Calibri" w:eastAsia="Calibri" w:hAnsi="Calibri"/>
          <w:sz w:val="22"/>
          <w:szCs w:val="22"/>
          <w:color w:val="000000"/>
        </w:rPr>
        <w:t xml:space="preserve"> Επιπλέον, επειδή το υποκείμενο μέσο μιας επιλογής συμβολαίων μελλοντικής εκπλήρωσης είναι συμβόλαιο μελλοντικής εκπλήρωσης, οι επενδυτές θα πρέπει να διαβάσουν και να κατανοήσουν το σχετικό έγγραφο βασικών πληροφοριών για το συμβόλαιο μελλοντικής εκπλήρωσης στο οποίο βασίζεται η επιλογή συμβολαίων μελλοντικής εκπλήρωσης.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24130</wp:posOffset>
                </wp:positionV>
                <wp:extent cx="6676390" cy="47898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789805"/>
                        </a:xfrm>
                        <a:prstGeom prst="rect">
                          <a:avLst/>
                        </a:prstGeom>
                        <a:solidFill>
                          <a:srgbClr val="BDD6EE"/>
                        </a:solidFill>
                      </wps:spPr>
                      <wps:bodyPr/>
                    </wps:wsp>
                  </a:graphicData>
                </a:graphic>
              </wp:anchor>
            </w:drawing>
          </mc:Choice>
          <mc:Fallback>
            <w:pict>
              <v:rect id="Shape 11" o:spid="_x0000_s1036" style="position:absolute;margin-left:-4.8499pt;margin-top:1.9pt;width:525.7pt;height:377.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ind w:right="6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Δικαίωμα προαίρεσης επί συμβολαίων μελλοντικής εκπλήρωσης είναι το δικαίωμα αγοράς ή πώλησης συγκεκριμένου συμβολαίου μελλοντικής εκπλήρωσης σε καθορισμένη τιμή (</w:t>
      </w:r>
      <w:r>
        <w:rPr xmlns:w="http://schemas.openxmlformats.org/wordprocessingml/2006/main">
          <w:rFonts w:ascii="Calibri" w:cs="Calibri" w:eastAsia="Calibri" w:hAnsi="Calibri"/>
          <w:sz w:val="22"/>
          <w:szCs w:val="22"/>
          <w:i w:val="1"/>
          <w:iCs w:val="1"/>
          <w:color w:val="auto"/>
        </w:rPr>
        <w:t xml:space="preserve">δηλαδή «</w:t>
      </w:r>
      <w:r>
        <w:rPr xmlns:w="http://schemas.openxmlformats.org/wordprocessingml/2006/main">
          <w:rFonts w:ascii="Calibri" w:cs="Calibri" w:eastAsia="Calibri" w:hAnsi="Calibri"/>
          <w:sz w:val="22"/>
          <w:szCs w:val="22"/>
          <w:color w:val="auto"/>
        </w:rPr>
        <w:t xml:space="preserve">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 υποκείμενο συμβόλαιο μελλοντικής εκπλήρωσης, και στο υποκείμενο επιτόκιο στο εν λόγω μέλλον, είναι επομένως έμμεσο, επειδή η αξία του δικαιώματος προαίρεσης απορρέει από την αξία του υποκείμενου μέλλοντος.</w:t>
      </w:r>
      <w:r>
        <w:rPr xmlns:w="http://schemas.openxmlformats.org/wordprocessingml/2006/main">
          <w:rFonts w:ascii="Calibri" w:cs="Calibri" w:eastAsia="Calibri" w:hAnsi="Calibri"/>
          <w:sz w:val="22"/>
          <w:szCs w:val="22"/>
          <w:color w:val="auto"/>
        </w:rPr>
        <w:t xml:space="preserve"> Οι ημερομηνίες λήξης για τις επιλογές συμβολαίων μελλοντικής εκπλήρωσης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η ανταλλαγή προθεσμιακών συμβολαίων μελλοντικής εκπλήρωσης στις ΗΠΑ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Ένα εταιρικό γεγονός που αφορά την υποκείμενη σύμβαση συμβολαίων μελλοντικής εκπλήρωσης ή το υποκείμενο συμφέρον που μπορεί να οδηγήσει σε μεταβολή των όρων του δικαιώματος σύμφωνα με τους κανόνες του OCC, το οποίο μπορεί να διαφέρει από τη μεθοδολογία που χρησιμοποιείται στις ευρωπαϊκές αγορές.</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4" w:lineRule="exact"/>
        <w:rPr>
          <w:sz w:val="24"/>
          <w:szCs w:val="24"/>
          <w:color w:val="auto"/>
        </w:rPr>
      </w:pPr>
    </w:p>
    <w:p>
      <w:pPr xmlns:w="http://schemas.openxmlformats.org/wordprocessingml/2006/main">
        <w:ind w:right="10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δικαιοπάροχος είναι υποχρεωμένος - αν και όταν του ανατίθεται μια άσκηση - να εκτελεί σύμφωνα με τους όρους είτε να αγοράσει είτε να πωλήσει το υποκείμενο συμβόλαιο μελλοντικής εκπλήρωσης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διακανονίζονται γενικά μέσω της άσκησης του υποκείμενου συμβολαίου μελλοντικής εκπλήρωσης.</w:t>
      </w:r>
      <w:r>
        <w:rPr xmlns:w="http://schemas.openxmlformats.org/wordprocessingml/2006/main">
          <w:rFonts w:ascii="Calibri" w:cs="Calibri" w:eastAsia="Calibri" w:hAnsi="Calibri"/>
          <w:sz w:val="22"/>
          <w:szCs w:val="22"/>
          <w:color w:val="auto"/>
        </w:rPr>
        <w:t xml:space="preserve"> Αυτό σημαίνει ότι ο κάτοχος δικαιώματος αγοράς, κατά την άσκησή του, θα αποκτούσε μια θετική θέση στο υποκείμενο συμβόλαιο μελλοντικής εκπλήρωσης που τιμολογείται στην τιμή άσκησης του δικαιώματος προαίρεσης.</w:t>
      </w:r>
      <w:r>
        <w:rPr xmlns:w="http://schemas.openxmlformats.org/wordprocessingml/2006/main">
          <w:rFonts w:ascii="Calibri" w:cs="Calibri" w:eastAsia="Calibri" w:hAnsi="Calibri"/>
          <w:sz w:val="22"/>
          <w:szCs w:val="22"/>
          <w:color w:val="auto"/>
        </w:rPr>
        <w:t xml:space="preserve"> Ορισμένα δικαιώματα προαίρεσης επί συμβολαίων μελλοντικής εκπλήρωσης μπορούν αντ' αυτού να διακανονιστούν σε μετρητά, οπότε ο κάτοχος θα λάβει καταβολή μετρητών αν, κατά την άσκηση, η αξία του υποκείμενου συμβολαίου μελλοντικής εκπλήρωσης υπερβαίνει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επί συμβολαίου μελλοντικής εκπλήρωσης περιλαμβάνονται η τιμή άσκησης, ο χρόνος έως τη λήξη και η αξία του υποκείμενου συμβολαίου μελλοντικής εκπλήρωσης και η ευαισθησία του στις διακυμάνσεις των τιμών (μεταβλητότητα).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20"/>
          </w:cols>
          <w:pgMar w:left="940" w:top="627" w:right="980" w:bottom="587"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9324975</wp:posOffset>
                </wp:positionV>
                <wp:extent cx="669036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34.25pt" to="568.4pt,734.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26592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659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26592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659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τους κατόχους και τους συγγραφείς εξαρτάται από τους όρους του, αλλά μπορεί να περιλαμβάνει τα ακόλουθα:</w:t>
      </w:r>
    </w:p>
    <w:p>
      <w:pPr>
        <w:spacing w:after="0" w:line="76" w:lineRule="exact"/>
        <w:rPr>
          <w:sz w:val="20"/>
          <w:szCs w:val="20"/>
          <w:color w:val="auto"/>
        </w:rPr>
      </w:pPr>
    </w:p>
    <w:p>
      <w:pPr xmlns:w="http://schemas.openxmlformats.org/wordprocessingml/2006/main">
        <w:jc w:val="both"/>
        <w:ind w:left="220" w:right="1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μπορεί να χάσει ολόκληρο το ασφάλιστρο αν η τιμή άσκησης για μια κλήση είναι πάνω από την αγοραία αξία του υποκείμενου μέσου ή αν η τιμή άσκησης για μια θέση είναι κάτω από αυτήν.</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Ο κάτοχος ο οποίος δεν πωλεί ούτε ασκεί την επιλογή του πριν από τη λήξη της μπορεί να χάσει ολόκληρη την επένδυσή του.</w:t>
      </w:r>
    </w:p>
    <w:p>
      <w:pPr>
        <w:spacing w:after="0" w:line="79" w:lineRule="exact"/>
        <w:rPr>
          <w:rFonts w:ascii="Symbol" w:cs="Symbol" w:eastAsia="Symbol" w:hAnsi="Symbol"/>
          <w:sz w:val="22"/>
          <w:szCs w:val="22"/>
          <w:color w:val="auto"/>
        </w:rPr>
      </w:pPr>
    </w:p>
    <w:p>
      <w:pPr xmlns:w="http://schemas.openxmlformats.org/wordprocessingml/2006/main">
        <w:ind w:left="220" w:right="1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αμερικανικό χρηματιστήριο προθεσμιακών συμβολαίων μελλοντικής εκπλήρωσης (futures options), όπου τα δικαιώματα προαίρεσης γίνονται αποκλειστικά αντικείμενο διαπραγμάτευσης, καθίσταται μη διαθέσιμο, οι επενδυτές δεν θα μπορούσαν πλέον να προβούν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επί συμβολαίων μελλοντικής εκπλήρωσης δεν θα διατηρούν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22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συμβόλαιο μελλοντικής εκπλήρωσης για ένα εξασκημένο δικαίωμα προαίρεσης δεν είναι διαθέσιμο, οι κανόνες της OCC ενδέχεται να απαιτούν εναλλακτική μορφή διακανονισμού, όπως διακανονισμό τοις μετρητοίς.</w:t>
      </w:r>
    </w:p>
    <w:p>
      <w:pPr>
        <w:spacing w:after="0" w:line="80" w:lineRule="exact"/>
        <w:rPr>
          <w:rFonts w:ascii="Symbol" w:cs="Symbol" w:eastAsia="Symbol" w:hAnsi="Symbol"/>
          <w:sz w:val="22"/>
          <w:szCs w:val="22"/>
          <w:color w:val="auto"/>
        </w:rPr>
      </w:pPr>
    </w:p>
    <w:p>
      <w:pPr xmlns:w="http://schemas.openxmlformats.org/wordprocessingml/2006/main">
        <w:ind w:left="220" w:right="40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Οι επενδυτές θα πρέπει να λαμβάνουν υπόψη το προφίλ κινδύνου και απόδοσης του συμβολαίου μελλοντικής εκπλήρωσης στο οποίο βασίζεται η επιλογή συμβολαίου μελλοντικής εκπλήρωσης, όπως περιγράφεται στο σχετικό έγγραφο βασικών πληροφοριών για το υποκείμενο συμβόλαιο μελλοντικής εκπλήρωσης.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Κάθε πληρωμή σε μετρητά που συνδέεται με τη διαπραγμάτευση ή την άσκηση των δικαιωμάτων προαίρεσης θα διακανονιστεί σε</w:t>
      </w:r>
    </w:p>
    <w:p>
      <w:pPr>
        <w:spacing w:after="0" w:line="78" w:lineRule="exact"/>
        <w:rPr>
          <w:sz w:val="20"/>
          <w:szCs w:val="20"/>
          <w:color w:val="auto"/>
        </w:rPr>
      </w:pPr>
    </w:p>
    <w:p>
      <w:pPr xmlns:w="http://schemas.openxmlformats.org/wordprocessingml/2006/main">
        <w:ind w:left="220" w:right="180"/>
        <w:spacing w:after="0" w:line="20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Δολάρια ΗΠΑ, και κατά συνέπεια, τα αποτελέσματα των επενδύσεων μπορεί να αλλάξουν ανάλογα με τις διακυμάνσεις του νομίσματος.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8" w:lineRule="exact"/>
        <w:rPr>
          <w:sz w:val="20"/>
          <w:szCs w:val="20"/>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2570" cy="15970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extLst>
                    </a:blip>
                    <a:srcRect/>
                    <a:stretch>
                      <a:fillRect/>
                    </a:stretch>
                  </pic:blipFill>
                  <pic:spPr bwMode="auto">
                    <a:xfrm>
                      <a:off x="0" y="0"/>
                      <a:ext cx="6592570" cy="159702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2570" cy="15970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extLst>
                    </a:blip>
                    <a:srcRect/>
                    <a:stretch>
                      <a:fillRect/>
                    </a:stretch>
                  </pic:blipFill>
                  <pic:spPr bwMode="auto">
                    <a:xfrm>
                      <a:off x="0" y="0"/>
                      <a:ext cx="6592570" cy="1597025"/>
                    </a:xfrm>
                    <a:prstGeom prst="rect">
                      <a:avLst/>
                    </a:prstGeom>
                    <a:noFill/>
                  </pic:spPr>
                </pic:pic>
              </a:graphicData>
            </a:graphic>
          </wp:anchor>
        </w:drawing>
      </w:r>
    </w:p>
    <w:p>
      <w:pPr>
        <w:sectPr>
          <w:pgSz w:w="12240" w:h="15840" w:orient="portrait"/>
          <w:cols w:equalWidth="0" w:num="1">
            <w:col w:w="10320"/>
          </w:cols>
          <w:pgMar w:left="940" w:top="634" w:right="980" w:bottom="70" w:gutter="0" w:footer="0" w:header="0"/>
        </w:sectPr>
      </w:pPr>
    </w:p>
    <w:p>
      <w:pPr>
        <w:spacing w:after="0" w:line="177" w:lineRule="exact"/>
        <w:rPr>
          <w:sz w:val="20"/>
          <w:szCs w:val="20"/>
          <w:color w:val="auto"/>
        </w:rPr>
      </w:pPr>
    </w:p>
    <w:p>
      <w:pPr xmlns:w="http://schemas.openxmlformats.org/wordprocessingml/2006/main">
        <w:jc w:val="center"/>
        <w:ind w:left="380"/>
        <w:spacing w:after="0"/>
        <w:rPr>
          <w:sz w:val="20"/>
          <w:szCs w:val="20"/>
          <w:color w:val="auto"/>
        </w:rPr>
      </w:pPr>
      <w:r>
        <w:rPr xmlns:w="http://schemas.openxmlformats.org/wordprocessingml/2006/main">
          <w:rFonts w:ascii="Calibri" w:cs="Calibri" w:eastAsia="Calibri" w:hAnsi="Calibri"/>
          <w:sz w:val="16"/>
          <w:szCs w:val="16"/>
          <w:color w:val="595959"/>
        </w:rPr>
        <w:t xml:space="preserve">P/L για κάτοχο κλήσης (Premium $ 5;</w:t>
      </w:r>
      <w:r>
        <w:rPr xmlns:w="http://schemas.openxmlformats.org/wordprocessingml/2006/main">
          <w:rFonts w:ascii="Calibri" w:cs="Calibri" w:eastAsia="Calibri" w:hAnsi="Calibri"/>
          <w:sz w:val="16"/>
          <w:szCs w:val="16"/>
          <w:color w:val="595959"/>
        </w:rPr>
        <w:t xml:space="preserve"> Τιμή άσκησης (45 $)</w:t>
      </w:r>
    </w:p>
    <w:p>
      <w:pPr>
        <w:spacing w:after="0" w:line="130" w:lineRule="exact"/>
        <w:rPr>
          <w:sz w:val="20"/>
          <w:szCs w:val="20"/>
          <w:color w:val="auto"/>
        </w:rPr>
      </w:pPr>
    </w:p>
    <w:tbl>
      <w:tblPr>
        <w:tblLayout w:type="fixed"/>
        <w:tblInd w:w="440" w:type="dxa"/>
        <w:tblCellMar>
          <w:top w:w="0" w:type="dxa"/>
          <w:left w:w="0" w:type="dxa"/>
          <w:bottom w:w="0" w:type="dxa"/>
          <w:right w:w="0" w:type="dxa"/>
        </w:tblCellMar>
      </w:tblPr>
      <w:tr>
        <w:trPr>
          <w:trHeight w:val="130"/>
        </w:trPr>
        <w:tc>
          <w:tcPr>
            <w:tcW w:w="160" w:type="dxa"/>
            <w:vAlign w:val="bottom"/>
          </w:tcPr>
          <w:p>
            <w:pPr>
              <w:spacing w:after="0"/>
              <w:rPr>
                <w:sz w:val="11"/>
                <w:szCs w:val="11"/>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140" w:type="dxa"/>
            <w:vAlign w:val="bottom"/>
          </w:tcPr>
          <w:p>
            <w:pPr>
              <w:spacing w:after="0"/>
              <w:rPr>
                <w:sz w:val="11"/>
                <w:szCs w:val="11"/>
                <w:color w:val="auto"/>
              </w:rPr>
            </w:pPr>
          </w:p>
        </w:tc>
        <w:tc>
          <w:tcPr>
            <w:tcW w:w="340" w:type="dxa"/>
            <w:vAlign w:val="bottom"/>
            <w:tcBorders>
              <w:bottom w:val="single" w:sz="8" w:color="D9D9D9"/>
            </w:tcBorders>
          </w:tcPr>
          <w:p>
            <w:pPr>
              <w:spacing w:after="0"/>
              <w:rPr>
                <w:sz w:val="11"/>
                <w:szCs w:val="11"/>
                <w:color w:val="auto"/>
              </w:rPr>
            </w:pPr>
          </w:p>
        </w:tc>
        <w:tc>
          <w:tcPr>
            <w:tcW w:w="40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60" w:type="dxa"/>
            <w:vAlign w:val="bottom"/>
            <w:tcBorders>
              <w:bottom w:val="single" w:sz="8" w:color="D9D9D9"/>
            </w:tcBorders>
          </w:tcPr>
          <w:p>
            <w:pPr>
              <w:spacing w:after="0"/>
              <w:rPr>
                <w:sz w:val="11"/>
                <w:szCs w:val="11"/>
                <w:color w:val="auto"/>
              </w:rPr>
            </w:pPr>
          </w:p>
        </w:tc>
        <w:tc>
          <w:tcPr>
            <w:tcW w:w="360" w:type="dxa"/>
            <w:vAlign w:val="bottom"/>
            <w:tcBorders>
              <w:bottom w:val="single" w:sz="8" w:color="D9D9D9"/>
            </w:tcBorders>
          </w:tcPr>
          <w:p>
            <w:pPr>
              <w:spacing w:after="0"/>
              <w:rPr>
                <w:sz w:val="11"/>
                <w:szCs w:val="11"/>
                <w:color w:val="auto"/>
              </w:rPr>
            </w:pPr>
          </w:p>
        </w:tc>
        <w:tc>
          <w:tcPr>
            <w:tcW w:w="7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56"/>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140" w:type="dxa"/>
            <w:vAlign w:val="bottom"/>
            <w:tcBorders>
              <w:right w:val="single" w:sz="8" w:color="BFBFBF"/>
            </w:tcBorders>
          </w:tcPr>
          <w:p>
            <w:pPr>
              <w:spacing w:after="0"/>
              <w:rPr>
                <w:sz w:val="22"/>
                <w:szCs w:val="22"/>
                <w:color w:val="auto"/>
              </w:rPr>
            </w:pPr>
          </w:p>
        </w:tc>
        <w:tc>
          <w:tcPr>
            <w:tcW w:w="340" w:type="dxa"/>
            <w:vAlign w:val="bottom"/>
            <w:tcBorders>
              <w:bottom w:val="single" w:sz="8" w:color="D9D9D9"/>
            </w:tcBorders>
          </w:tcPr>
          <w:p>
            <w:pPr>
              <w:spacing w:after="0"/>
              <w:rPr>
                <w:sz w:val="22"/>
                <w:szCs w:val="22"/>
                <w:color w:val="auto"/>
              </w:rPr>
            </w:pPr>
          </w:p>
        </w:tc>
        <w:tc>
          <w:tcPr>
            <w:tcW w:w="40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7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70"/>
        </w:trPr>
        <w:tc>
          <w:tcPr>
            <w:tcW w:w="160" w:type="dxa"/>
            <w:vAlign w:val="bottom"/>
            <w:vMerge w:val="continue"/>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56"/>
        </w:trPr>
        <w:tc>
          <w:tcPr>
            <w:tcW w:w="160" w:type="dxa"/>
            <w:vAlign w:val="bottom"/>
            <w:vMerge w:val="continue"/>
          </w:tcPr>
          <w:p>
            <w:pPr>
              <w:spacing w:after="0"/>
              <w:rPr>
                <w:sz w:val="22"/>
                <w:szCs w:val="22"/>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40" w:type="dxa"/>
            <w:vAlign w:val="bottom"/>
            <w:tcBorders>
              <w:right w:val="single" w:sz="8" w:color="BFBFBF"/>
            </w:tcBorders>
          </w:tcPr>
          <w:p>
            <w:pPr>
              <w:spacing w:after="0"/>
              <w:rPr>
                <w:sz w:val="22"/>
                <w:szCs w:val="22"/>
                <w:color w:val="auto"/>
              </w:rPr>
            </w:pPr>
          </w:p>
        </w:tc>
        <w:tc>
          <w:tcPr>
            <w:tcW w:w="340" w:type="dxa"/>
            <w:vAlign w:val="bottom"/>
            <w:tcBorders>
              <w:bottom w:val="single" w:sz="8" w:color="D9D9D9"/>
            </w:tcBorders>
          </w:tcPr>
          <w:p>
            <w:pPr>
              <w:spacing w:after="0"/>
              <w:rPr>
                <w:sz w:val="22"/>
                <w:szCs w:val="22"/>
                <w:color w:val="auto"/>
              </w:rPr>
            </w:pPr>
          </w:p>
        </w:tc>
        <w:tc>
          <w:tcPr>
            <w:tcW w:w="40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7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56"/>
        </w:trPr>
        <w:tc>
          <w:tcPr>
            <w:tcW w:w="160" w:type="dxa"/>
            <w:vAlign w:val="bottom"/>
          </w:tcPr>
          <w:p>
            <w:pPr>
              <w:spacing w:after="0"/>
              <w:rPr>
                <w:sz w:val="22"/>
                <w:szCs w:val="22"/>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140" w:type="dxa"/>
            <w:vAlign w:val="bottom"/>
            <w:tcBorders>
              <w:right w:val="single" w:sz="8" w:color="BFBFBF"/>
            </w:tcBorders>
          </w:tcPr>
          <w:p>
            <w:pPr>
              <w:spacing w:after="0"/>
              <w:rPr>
                <w:sz w:val="22"/>
                <w:szCs w:val="22"/>
                <w:color w:val="auto"/>
              </w:rPr>
            </w:pPr>
          </w:p>
        </w:tc>
        <w:tc>
          <w:tcPr>
            <w:tcW w:w="340" w:type="dxa"/>
            <w:vAlign w:val="bottom"/>
            <w:tcBorders>
              <w:bottom w:val="single" w:sz="8" w:color="BFBFBF"/>
            </w:tcBorders>
          </w:tcPr>
          <w:p>
            <w:pPr>
              <w:spacing w:after="0"/>
              <w:rPr>
                <w:sz w:val="22"/>
                <w:szCs w:val="22"/>
                <w:color w:val="auto"/>
              </w:rPr>
            </w:pPr>
          </w:p>
        </w:tc>
        <w:tc>
          <w:tcPr>
            <w:tcW w:w="40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60" w:type="dxa"/>
            <w:vAlign w:val="bottom"/>
            <w:tcBorders>
              <w:bottom w:val="single" w:sz="8" w:color="BFBFBF"/>
            </w:tcBorders>
          </w:tcPr>
          <w:p>
            <w:pPr>
              <w:spacing w:after="0"/>
              <w:rPr>
                <w:sz w:val="22"/>
                <w:szCs w:val="22"/>
                <w:color w:val="auto"/>
              </w:rPr>
            </w:pPr>
          </w:p>
        </w:tc>
        <w:tc>
          <w:tcPr>
            <w:tcW w:w="360" w:type="dxa"/>
            <w:vAlign w:val="bottom"/>
            <w:tcBorders>
              <w:bottom w:val="single" w:sz="8" w:color="BFBFBF"/>
            </w:tcBorders>
          </w:tcPr>
          <w:p>
            <w:pPr>
              <w:spacing w:after="0"/>
              <w:rPr>
                <w:sz w:val="22"/>
                <w:szCs w:val="22"/>
                <w:color w:val="auto"/>
              </w:rPr>
            </w:pPr>
          </w:p>
        </w:tc>
        <w:tc>
          <w:tcPr>
            <w:tcW w:w="7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40" w:type="dxa"/>
            <w:vAlign w:val="bottom"/>
            <w:vMerge w:val="restart"/>
          </w:tcPr>
          <w:p>
            <w:pPr xmlns:w="http://schemas.openxmlformats.org/wordprocessingml/2006/main">
              <w:jc w:val="right"/>
              <w:ind w:right="18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0</w:t>
            </w: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20</w:t>
            </w:r>
          </w:p>
        </w:tc>
        <w:tc>
          <w:tcPr>
            <w:tcW w:w="38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40</w:t>
            </w:r>
          </w:p>
        </w:tc>
        <w:tc>
          <w:tcPr>
            <w:tcW w:w="3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60</w:t>
            </w:r>
          </w:p>
        </w:tc>
        <w:tc>
          <w:tcPr>
            <w:tcW w:w="36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60" w:type="dxa"/>
            <w:vAlign w:val="bottom"/>
            <w:vMerge w:val="restart"/>
          </w:tcPr>
          <w:p>
            <w:pPr xmlns:w="http://schemas.openxmlformats.org/wordprocessingml/2006/main">
              <w:jc w:val="right"/>
              <w:ind w:right="14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80</w:t>
            </w:r>
          </w:p>
        </w:tc>
        <w:tc>
          <w:tcPr>
            <w:tcW w:w="780" w:type="dxa"/>
            <w:vAlign w:val="bottom"/>
            <w:vMerge w:val="restart"/>
          </w:tcPr>
          <w:p>
            <w:pPr xmlns:w="http://schemas.openxmlformats.org/wordprocessingml/2006/main">
              <w:jc w:val="right"/>
              <w:ind w:right="90"/>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560" w:type="dxa"/>
            <w:vAlign w:val="bottom"/>
            <w:gridSpan w:val="2"/>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58"/>
        </w:trPr>
        <w:tc>
          <w:tcPr>
            <w:tcW w:w="160" w:type="dxa"/>
            <w:vAlign w:val="bottom"/>
          </w:tcPr>
          <w:p>
            <w:pPr>
              <w:spacing w:after="0"/>
              <w:rPr>
                <w:sz w:val="22"/>
                <w:szCs w:val="22"/>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40" w:type="dxa"/>
            <w:vAlign w:val="bottom"/>
            <w:tcBorders>
              <w:right w:val="single" w:sz="8" w:color="BFBFBF"/>
            </w:tcBorders>
            <w:vMerge w:val="continue"/>
          </w:tcPr>
          <w:p>
            <w:pPr>
              <w:spacing w:after="0"/>
              <w:rPr>
                <w:sz w:val="22"/>
                <w:szCs w:val="22"/>
                <w:color w:val="auto"/>
              </w:rPr>
            </w:pPr>
          </w:p>
        </w:tc>
        <w:tc>
          <w:tcPr>
            <w:tcW w:w="340" w:type="dxa"/>
            <w:vAlign w:val="bottom"/>
            <w:vMerge w:val="continue"/>
          </w:tcPr>
          <w:p>
            <w:pPr>
              <w:spacing w:after="0"/>
              <w:rPr>
                <w:sz w:val="22"/>
                <w:szCs w:val="22"/>
                <w:color w:val="auto"/>
              </w:rPr>
            </w:pPr>
          </w:p>
        </w:tc>
        <w:tc>
          <w:tcPr>
            <w:tcW w:w="40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60" w:type="dxa"/>
            <w:vAlign w:val="bottom"/>
            <w:vMerge w:val="continue"/>
          </w:tcPr>
          <w:p>
            <w:pPr>
              <w:spacing w:after="0"/>
              <w:rPr>
                <w:sz w:val="22"/>
                <w:szCs w:val="22"/>
                <w:color w:val="auto"/>
              </w:rPr>
            </w:pPr>
          </w:p>
        </w:tc>
        <w:tc>
          <w:tcPr>
            <w:tcW w:w="360" w:type="dxa"/>
            <w:vAlign w:val="bottom"/>
            <w:vMerge w:val="continue"/>
          </w:tcPr>
          <w:p>
            <w:pPr>
              <w:spacing w:after="0"/>
              <w:rPr>
                <w:sz w:val="22"/>
                <w:szCs w:val="22"/>
                <w:color w:val="auto"/>
              </w:rPr>
            </w:pPr>
          </w:p>
        </w:tc>
        <w:tc>
          <w:tcPr>
            <w:tcW w:w="780" w:type="dxa"/>
            <w:vAlign w:val="bottom"/>
            <w:vMerge w:val="continue"/>
          </w:tcPr>
          <w:p>
            <w:pPr>
              <w:spacing w:after="0"/>
              <w:rPr>
                <w:sz w:val="22"/>
                <w:szCs w:val="22"/>
                <w:color w:val="auto"/>
              </w:rPr>
            </w:pPr>
          </w:p>
        </w:tc>
        <w:tc>
          <w:tcPr>
            <w:tcW w:w="56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68"/>
        </w:trPr>
        <w:tc>
          <w:tcPr>
            <w:tcW w:w="16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140" w:type="dxa"/>
            <w:vAlign w:val="bottom"/>
          </w:tcPr>
          <w:p>
            <w:pPr>
              <w:spacing w:after="0"/>
              <w:rPr>
                <w:sz w:val="5"/>
                <w:szCs w:val="5"/>
                <w:color w:val="auto"/>
              </w:rPr>
            </w:pPr>
          </w:p>
        </w:tc>
        <w:tc>
          <w:tcPr>
            <w:tcW w:w="340" w:type="dxa"/>
            <w:vAlign w:val="bottom"/>
            <w:tcBorders>
              <w:top w:val="single" w:sz="8" w:color="D9D9D9"/>
            </w:tcBorders>
          </w:tcPr>
          <w:p>
            <w:pPr>
              <w:spacing w:after="0"/>
              <w:rPr>
                <w:sz w:val="5"/>
                <w:szCs w:val="5"/>
                <w:color w:val="auto"/>
              </w:rPr>
            </w:pPr>
          </w:p>
        </w:tc>
        <w:tc>
          <w:tcPr>
            <w:tcW w:w="400" w:type="dxa"/>
            <w:vAlign w:val="bottom"/>
            <w:tcBorders>
              <w:top w:val="single" w:sz="8" w:color="D9D9D9"/>
            </w:tcBorders>
          </w:tcPr>
          <w:p>
            <w:pPr>
              <w:spacing w:after="0"/>
              <w:rPr>
                <w:sz w:val="5"/>
                <w:szCs w:val="5"/>
                <w:color w:val="auto"/>
              </w:rPr>
            </w:pPr>
          </w:p>
        </w:tc>
        <w:tc>
          <w:tcPr>
            <w:tcW w:w="380" w:type="dxa"/>
            <w:vAlign w:val="bottom"/>
            <w:tcBorders>
              <w:top w:val="single" w:sz="8" w:color="D9D9D9"/>
            </w:tcBorders>
          </w:tcPr>
          <w:p>
            <w:pPr>
              <w:spacing w:after="0"/>
              <w:rPr>
                <w:sz w:val="5"/>
                <w:szCs w:val="5"/>
                <w:color w:val="auto"/>
              </w:rPr>
            </w:pPr>
          </w:p>
        </w:tc>
        <w:tc>
          <w:tcPr>
            <w:tcW w:w="2240" w:type="dxa"/>
            <w:vAlign w:val="bottom"/>
            <w:tcBorders>
              <w:top w:val="single" w:sz="8" w:color="D9D9D9"/>
            </w:tcBorders>
            <w:gridSpan w:val="6"/>
            <w:vMerge w:val="restart"/>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780" w:type="dxa"/>
            <w:vAlign w:val="bottom"/>
            <w:tcBorders>
              <w:top w:val="single" w:sz="8" w:color="D9D9D9"/>
            </w:tcBorders>
          </w:tcPr>
          <w:p>
            <w:pPr>
              <w:spacing w:after="0"/>
              <w:rPr>
                <w:sz w:val="5"/>
                <w:szCs w:val="5"/>
                <w:color w:val="auto"/>
              </w:rPr>
            </w:pPr>
          </w:p>
        </w:tc>
        <w:tc>
          <w:tcPr>
            <w:tcW w:w="380" w:type="dxa"/>
            <w:vAlign w:val="bottom"/>
            <w:tcBorders>
              <w:top w:val="single" w:sz="8" w:color="D9D9D9"/>
            </w:tcBorders>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28"/>
        </w:trPr>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40" w:type="dxa"/>
            <w:vAlign w:val="bottom"/>
            <w:gridSpan w:val="6"/>
            <w:vMerge w:val="continue"/>
          </w:tcPr>
          <w:p>
            <w:pPr>
              <w:spacing w:after="0"/>
              <w:rPr>
                <w:sz w:val="11"/>
                <w:szCs w:val="11"/>
                <w:color w:val="auto"/>
              </w:rPr>
            </w:pPr>
          </w:p>
        </w:tc>
        <w:tc>
          <w:tcPr>
            <w:tcW w:w="7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Κόκκινο Σημείο Του Οικοπέδου</w:t>
      </w:r>
      <w:r>
        <w:rPr xmlns:w="http://schemas.openxmlformats.org/wordprocessingml/2006/main">
          <w:rFonts w:ascii="Calibri" w:cs="Calibri" w:eastAsia="Calibri" w:hAnsi="Calibri"/>
          <w:sz w:val="16"/>
          <w:szCs w:val="16"/>
          <w:u w:val="single" w:color="auto"/>
          <w:color w:val="auto"/>
        </w:rPr>
        <w:t xml:space="preserve">)</w: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100 $</w:t>
      </w:r>
    </w:p>
    <w:p>
      <w:pPr>
        <w:spacing w:after="0" w:line="59" w:lineRule="exact"/>
        <w:rPr>
          <w:sz w:val="20"/>
          <w:szCs w:val="20"/>
          <w:color w:val="auto"/>
        </w:rPr>
      </w:pPr>
    </w:p>
    <w:p>
      <w:pPr xmlns:w="http://schemas.openxmlformats.org/wordprocessingml/2006/main">
        <w:ind w:left="280" w:hanging="139"/>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+ 50 $</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Σημείο Πράσινου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60" w:lineRule="exact"/>
        <w:rPr>
          <w:sz w:val="20"/>
          <w:szCs w:val="20"/>
          <w:color w:val="auto"/>
        </w:rPr>
      </w:pPr>
    </w:p>
    <w:p>
      <w:pPr xmlns:w="http://schemas.openxmlformats.org/wordprocessingml/2006/main">
        <w:ind w:left="280" w:hanging="139"/>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+$10</w:t>
      </w:r>
    </w:p>
    <w:p>
      <w:pPr>
        <w:spacing w:after="0" w:line="96" w:lineRule="exact"/>
        <w:rPr>
          <w:sz w:val="20"/>
          <w:szCs w:val="20"/>
          <w:color w:val="auto"/>
        </w:rPr>
      </w:pPr>
    </w:p>
    <w:p>
      <w:pPr xmlns:w="http://schemas.openxmlformats.org/wordprocessingml/2006/main">
        <w:ind w:right="4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200" w:lineRule="exact"/>
        <w:rPr>
          <w:sz w:val="20"/>
          <w:szCs w:val="20"/>
          <w:color w:val="auto"/>
        </w:rPr>
      </w:pPr>
    </w:p>
    <w:p>
      <w:pPr>
        <w:sectPr>
          <w:pgSz w:w="12240" w:h="15840" w:orient="portrait"/>
          <w:cols w:equalWidth="0" w:num="2">
            <w:col w:w="5860" w:space="420"/>
            <w:col w:w="4040"/>
          </w:cols>
          <w:pgMar w:left="940" w:top="634" w:right="980" w:bottom="70" w:gutter="0" w:footer="0" w:header="0"/>
          <w:type w:val="continuous"/>
        </w:sectPr>
      </w:pPr>
    </w:p>
    <w:p>
      <w:pPr>
        <w:spacing w:after="0" w:line="110" w:lineRule="exact"/>
        <w:rPr>
          <w:sz w:val="20"/>
          <w:szCs w:val="20"/>
          <w:color w:val="auto"/>
        </w:r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του υποκείμενου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εμφανίζονται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82" w:lineRule="exact"/>
        <w:rPr>
          <w:sz w:val="20"/>
          <w:szCs w:val="20"/>
          <w:color w:val="auto"/>
        </w:rPr>
      </w:pPr>
    </w:p>
    <w:p>
      <w:pPr xmlns:w="http://schemas.openxmlformats.org/wordprocessingml/2006/main">
        <w:ind w:right="520"/>
        <w:spacing w:after="0" w:line="20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σε όλα τα δικαιώματα προαίρεσης συμβολαίων μελλοντικής εκπλήρωσης να είναι μεταξύ της OCC και ενός ομίλου χρηματιστηριακών εταιρειών που ονομάζονται εκκαθαριστικά μέλη και οι οποίες κατέχουν τις θέσεις όλων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689725"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1.4pt,1.45pt" o:allowincell="f" strokecolor="#000000" strokeweight="0.4799pt"/>
            </w:pict>
          </mc:Fallback>
        </mc:AlternateContent>
      </w:r>
    </w:p>
    <w:p>
      <w:pPr>
        <w:sectPr>
          <w:pgSz w:w="12240" w:h="15840" w:orient="portrait"/>
          <w:cols w:equalWidth="0" w:num="1">
            <w:col w:w="10320"/>
          </w:cols>
          <w:pgMar w:left="940" w:top="634" w:right="980" w:bottom="70" w:gutter="0" w:footer="0" w:header="0"/>
          <w:type w:val="continuous"/>
        </w:sectPr>
      </w:pPr>
    </w:p>
    <w:bookmarkStart w:id="2" w:name="page3"/>
    <w:bookmarkEnd w:id="2"/>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1784350</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0.5pt" to="568.4pt,1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5883910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63.3pt" to="568.4pt,463.3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7424420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84.6pt" to="568.4pt,584.6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6112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6112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κατόχους συμβολαίων μελλοντικής εκπλήρωσης (futures option) και εγγραφείς σε λογαριασμούς OCC.</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18" w:lineRule="exact"/>
        <w:rPr>
          <w:sz w:val="20"/>
          <w:szCs w:val="20"/>
          <w:color w:val="auto"/>
        </w:rPr>
      </w:pPr>
    </w:p>
    <w:tbl>
      <w:tblPr>
        <w:tblLayout w:type="fixed"/>
        <w:tblInd w:w="220" w:type="dxa"/>
        <w:tblCellMar>
          <w:top w:w="0" w:type="dxa"/>
          <w:left w:w="0" w:type="dxa"/>
          <w:bottom w:w="0" w:type="dxa"/>
          <w:right w:w="0" w:type="dxa"/>
        </w:tblCellMar>
      </w:tblPr>
      <w:tr>
        <w:trPr>
          <w:trHeight w:val="268"/>
        </w:trPr>
        <w:tc>
          <w:tcPr>
            <w:tcW w:w="510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3"/>
                <w:szCs w:val="23"/>
                <w:color w:val="auto"/>
              </w:rPr>
            </w:pPr>
          </w:p>
        </w:tc>
        <w:tc>
          <w:tcPr>
            <w:tcW w:w="240" w:type="dxa"/>
            <w:vAlign w:val="bottom"/>
            <w:tcBorders>
              <w:top w:val="single" w:sz="8" w:color="auto"/>
              <w:bottom w:val="single" w:sz="8" w:color="auto"/>
            </w:tcBorders>
            <w:shd w:val="clear" w:color="auto" w:fill="DADADA"/>
          </w:tcPr>
          <w:p>
            <w:pPr>
              <w:spacing w:after="0"/>
              <w:rPr>
                <w:sz w:val="23"/>
                <w:szCs w:val="23"/>
                <w:color w:val="auto"/>
              </w:rPr>
            </w:pPr>
          </w:p>
        </w:tc>
        <w:tc>
          <w:tcPr>
            <w:tcW w:w="480" w:type="dxa"/>
            <w:vAlign w:val="bottom"/>
            <w:tcBorders>
              <w:top w:val="single" w:sz="8" w:color="auto"/>
              <w:bottom w:val="single" w:sz="8" w:color="auto"/>
            </w:tcBorders>
            <w:shd w:val="clear" w:color="auto" w:fill="DADADA"/>
          </w:tcPr>
          <w:p>
            <w:pPr>
              <w:spacing w:after="0"/>
              <w:rPr>
                <w:sz w:val="23"/>
                <w:szCs w:val="23"/>
                <w:color w:val="auto"/>
              </w:rPr>
            </w:pPr>
          </w:p>
        </w:tc>
        <w:tc>
          <w:tcPr>
            <w:tcW w:w="960" w:type="dxa"/>
            <w:vAlign w:val="bottom"/>
            <w:tcBorders>
              <w:top w:val="single" w:sz="8" w:color="auto"/>
              <w:bottom w:val="single" w:sz="8" w:color="auto"/>
            </w:tcBorders>
            <w:shd w:val="clear" w:color="auto" w:fill="DADADA"/>
          </w:tcPr>
          <w:p>
            <w:pPr>
              <w:spacing w:after="0"/>
              <w:rPr>
                <w:sz w:val="23"/>
                <w:szCs w:val="23"/>
                <w:color w:val="auto"/>
              </w:rPr>
            </w:pPr>
          </w:p>
        </w:tc>
        <w:tc>
          <w:tcPr>
            <w:tcW w:w="280" w:type="dxa"/>
            <w:vAlign w:val="bottom"/>
            <w:tcBorders>
              <w:top w:val="single" w:sz="8" w:color="auto"/>
              <w:bottom w:val="single" w:sz="8" w:color="auto"/>
            </w:tcBorders>
            <w:shd w:val="clear" w:color="auto" w:fill="DADADA"/>
          </w:tcPr>
          <w:p>
            <w:pPr>
              <w:spacing w:after="0"/>
              <w:rPr>
                <w:sz w:val="23"/>
                <w:szCs w:val="23"/>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3"/>
                <w:szCs w:val="23"/>
                <w:color w:val="auto"/>
              </w:rPr>
            </w:pPr>
          </w:p>
        </w:tc>
        <w:tc>
          <w:tcPr>
            <w:tcW w:w="8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0" w:type="dxa"/>
            <w:vAlign w:val="bottom"/>
          </w:tcPr>
          <w:p>
            <w:pPr>
              <w:spacing w:after="0"/>
              <w:rPr>
                <w:sz w:val="1"/>
                <w:szCs w:val="1"/>
                <w:color w:val="auto"/>
              </w:rPr>
            </w:pPr>
          </w:p>
        </w:tc>
      </w:tr>
      <w:tr>
        <w:trPr>
          <w:trHeight w:val="251"/>
        </w:trPr>
        <w:tc>
          <w:tcPr>
            <w:tcW w:w="5100" w:type="dxa"/>
            <w:vAlign w:val="bottom"/>
            <w:tcBorders>
              <w:right w:val="single" w:sz="8" w:color="auto"/>
            </w:tcBorders>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0" w:type="dxa"/>
            <w:vAlign w:val="bottom"/>
          </w:tcPr>
          <w:p>
            <w:pPr>
              <w:spacing w:after="0"/>
              <w:rPr>
                <w:sz w:val="1"/>
                <w:szCs w:val="1"/>
                <w:color w:val="auto"/>
              </w:rPr>
            </w:pPr>
          </w:p>
        </w:tc>
      </w:tr>
      <w:tr>
        <w:trPr>
          <w:trHeight w:val="242"/>
        </w:trPr>
        <w:tc>
          <w:tcPr>
            <w:tcW w:w="5100" w:type="dxa"/>
            <w:vAlign w:val="bottom"/>
            <w:tcBorders>
              <w:right w:val="single" w:sz="8" w:color="auto"/>
            </w:tcBorders>
          </w:tcPr>
          <w:p>
            <w:pPr xmlns:w="http://schemas.openxmlformats.org/wordprocessingml/2006/main">
              <w:spacing w:after="0" w:line="223"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0" w:type="dxa"/>
            <w:vAlign w:val="bottom"/>
          </w:tcPr>
          <w:p>
            <w:pPr>
              <w:spacing w:after="0"/>
              <w:rPr>
                <w:sz w:val="1"/>
                <w:szCs w:val="1"/>
                <w:color w:val="auto"/>
              </w:rPr>
            </w:pPr>
          </w:p>
        </w:tc>
      </w:tr>
      <w:tr>
        <w:trPr>
          <w:trHeight w:val="239"/>
        </w:trPr>
        <w:tc>
          <w:tcPr>
            <w:tcW w:w="5100" w:type="dxa"/>
            <w:vAlign w:val="bottom"/>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10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τις επιλογές συμβολαίων μελλοντικής εκπλήρωσης εξαρτάται από</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10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Το τίμημα ενός δικαιώματος προαίρεσης είναι το καταβληθέν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0" w:type="dxa"/>
            <w:vAlign w:val="bottom"/>
          </w:tcPr>
          <w:p>
            <w:pPr>
              <w:spacing w:after="0"/>
              <w:rPr>
                <w:sz w:val="1"/>
                <w:szCs w:val="1"/>
                <w:color w:val="auto"/>
              </w:rPr>
            </w:pPr>
          </w:p>
        </w:tc>
      </w:tr>
      <w:tr>
        <w:trPr>
          <w:trHeight w:val="240"/>
        </w:trPr>
        <w:tc>
          <w:tcPr>
            <w:tcW w:w="510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6"/>
                <w:szCs w:val="16"/>
                <w:color w:val="auto"/>
              </w:rPr>
            </w:pPr>
          </w:p>
        </w:tc>
        <w:tc>
          <w:tcPr>
            <w:tcW w:w="1440" w:type="dxa"/>
            <w:vAlign w:val="bottom"/>
            <w:tcBorders>
              <w:right w:val="single" w:sz="8" w:color="auto"/>
            </w:tcBorders>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6"/>
                <w:szCs w:val="16"/>
                <w:color w:val="auto"/>
              </w:rPr>
            </w:pPr>
          </w:p>
        </w:tc>
        <w:tc>
          <w:tcPr>
            <w:tcW w:w="208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6"/>
                <w:szCs w:val="16"/>
                <w:color w:val="auto"/>
              </w:rPr>
            </w:pPr>
          </w:p>
        </w:tc>
        <w:tc>
          <w:tcPr>
            <w:tcW w:w="14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1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η αξία του υποκείμενου επιτοκίου, η χρονική στιγμή μέχρι τη λήξη,</w:t>
            </w:r>
          </w:p>
        </w:tc>
        <w:tc>
          <w:tcPr>
            <w:tcW w:w="100" w:type="dxa"/>
            <w:vAlign w:val="bottom"/>
          </w:tcPr>
          <w:p>
            <w:pPr>
              <w:spacing w:after="0"/>
              <w:rPr>
                <w:sz w:val="11"/>
                <w:szCs w:val="11"/>
                <w:color w:val="auto"/>
              </w:rPr>
            </w:pPr>
          </w:p>
        </w:tc>
        <w:tc>
          <w:tcPr>
            <w:tcW w:w="144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80" w:type="dxa"/>
            <w:vAlign w:val="bottom"/>
          </w:tcPr>
          <w:p>
            <w:pPr>
              <w:spacing w:after="0"/>
              <w:rPr>
                <w:sz w:val="11"/>
                <w:szCs w:val="11"/>
                <w:color w:val="auto"/>
              </w:rPr>
            </w:pPr>
          </w:p>
        </w:tc>
        <w:tc>
          <w:tcPr>
            <w:tcW w:w="144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1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103"/>
        </w:trPr>
        <w:tc>
          <w:tcPr>
            <w:tcW w:w="510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και την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4"/>
        </w:trPr>
        <w:tc>
          <w:tcPr>
            <w:tcW w:w="51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61"/>
        </w:trPr>
        <w:tc>
          <w:tcPr>
            <w:tcW w:w="51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10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100" w:type="dxa"/>
            <w:vAlign w:val="bottom"/>
            <w:tcBorders>
              <w:right w:val="single" w:sz="8" w:color="auto"/>
            </w:tcBorders>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204"/>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0" w:type="dxa"/>
            <w:vAlign w:val="bottom"/>
          </w:tcPr>
          <w:p>
            <w:pPr>
              <w:spacing w:after="0"/>
              <w:rPr>
                <w:sz w:val="1"/>
                <w:szCs w:val="1"/>
                <w:color w:val="auto"/>
              </w:rPr>
            </w:pPr>
          </w:p>
        </w:tc>
      </w:tr>
      <w:tr>
        <w:trPr>
          <w:trHeight w:val="66"/>
        </w:trPr>
        <w:tc>
          <w:tcPr>
            <w:tcW w:w="51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0" w:type="dxa"/>
            <w:vAlign w:val="bottom"/>
          </w:tcPr>
          <w:p>
            <w:pPr>
              <w:spacing w:after="0"/>
              <w:rPr>
                <w:sz w:val="1"/>
                <w:szCs w:val="1"/>
                <w:color w:val="auto"/>
              </w:rPr>
            </w:pPr>
          </w:p>
        </w:tc>
      </w:tr>
      <w:tr>
        <w:trPr>
          <w:trHeight w:val="168"/>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συνίστανται κυρίως σε προμήθειες (οι οποίες επιβάλλονται</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1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κατά το άνοιγμα, το κλείσιμο, την άσκηση και την ανάθεση</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1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συναλλαγές), αλλά μπορεί επίσης να περιλαμβάνει περιθώριο και</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10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10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έξοδα τόκων.</w:t>
            </w:r>
            <w:r>
              <w:rPr xmlns:w="http://schemas.openxmlformats.org/wordprocessingml/2006/main">
                <w:rFonts w:ascii="Calibri" w:cs="Calibri" w:eastAsia="Calibri" w:hAnsi="Calibri"/>
                <w:sz w:val="22"/>
                <w:szCs w:val="22"/>
                <w:color w:val="auto"/>
              </w:rPr>
              <w:t xml:space="preserve"> Περιθώριο σημαίνει τα στοιχεία ενεργητικού που πρέπει να</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τέλος</w:t>
            </w:r>
          </w:p>
        </w:tc>
        <w:tc>
          <w:tcPr>
            <w:tcW w:w="8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0" w:type="dxa"/>
            <w:vAlign w:val="bottom"/>
          </w:tcPr>
          <w:p>
            <w:pPr>
              <w:spacing w:after="0"/>
              <w:rPr>
                <w:sz w:val="1"/>
                <w:szCs w:val="1"/>
                <w:color w:val="auto"/>
              </w:rPr>
            </w:pPr>
          </w:p>
        </w:tc>
      </w:tr>
      <w:tr>
        <w:trPr>
          <w:trHeight w:val="20"/>
        </w:trPr>
        <w:tc>
          <w:tcPr>
            <w:tcW w:w="51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10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κατατίθεται από ένα συγγραφέα στην μεσιτική του εταιρεία ως</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κατά περίπτωση, αγοράς ή</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102"/>
        </w:trPr>
        <w:tc>
          <w:tcPr>
            <w:tcW w:w="51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0" w:type="dxa"/>
            <w:vAlign w:val="bottom"/>
          </w:tcPr>
          <w:p>
            <w:pPr>
              <w:spacing w:after="0"/>
              <w:rPr>
                <w:sz w:val="1"/>
                <w:szCs w:val="1"/>
                <w:color w:val="auto"/>
              </w:rPr>
            </w:pPr>
          </w:p>
        </w:tc>
      </w:tr>
      <w:tr>
        <w:trPr>
          <w:trHeight w:val="106"/>
        </w:trPr>
        <w:tc>
          <w:tcPr>
            <w:tcW w:w="510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πωλούν τον υποκείμενο τόκο ή καταβάλλουν τον διακανονισμό τοις μετρητοίς</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1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1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ποσό.</w:t>
            </w:r>
            <w:r>
              <w:rPr xmlns:w="http://schemas.openxmlformats.org/wordprocessingml/2006/main">
                <w:rFonts w:ascii="Calibri" w:cs="Calibri" w:eastAsia="Calibri" w:hAnsi="Calibri"/>
                <w:sz w:val="22"/>
                <w:szCs w:val="22"/>
                <w:color w:val="auto"/>
              </w:rPr>
              <w:t xml:space="preserve"> Αν ένα δικαίωμα προαίρεσης ασκηθεί και</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1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0" w:type="dxa"/>
            <w:vAlign w:val="bottom"/>
          </w:tcPr>
          <w:p>
            <w:pPr>
              <w:spacing w:after="0"/>
              <w:rPr>
                <w:sz w:val="1"/>
                <w:szCs w:val="1"/>
                <w:color w:val="auto"/>
              </w:rPr>
            </w:pPr>
          </w:p>
        </w:tc>
      </w:tr>
      <w:tr>
        <w:trPr>
          <w:trHeight w:val="216"/>
        </w:trPr>
        <w:tc>
          <w:tcPr>
            <w:tcW w:w="5100" w:type="dxa"/>
            <w:vAlign w:val="bottom"/>
            <w:tcBorders>
              <w:right w:val="single" w:sz="8" w:color="auto"/>
            </w:tcBorders>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μπορεί να επιβαρυνθεί με πρόσθετες δαπάνες που σχετίζονται με</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1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υποκείμενη σύμβαση συμβολαίων μελλοντικής εκπλήρωσης.</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8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για συμβόλαια μελλοντικής εκπλήρωσης αποτελεί βασική επενδυτική απόφαση για τον κάτοχο, όπως είναι και η απόφαση τόσο για τους κατόχους δικαιωμάτων προαίρεσης όσο και για τους συγγραφείς να κλείσουν μια υπάρχουσα θέση δικαιώματος προαίρεσης πριν από τη λήξη του δικαιώματος ή ασκηθεί και ανατεθεί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το συμβόλαιο μελλοντικής εκπλήρωσης δικαιωμάτων προαίρεσης ή αν θα κλείνουν μια υπάρχουσα θέση.</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σε συμβόλαια μελλοντικής εκπλήρωσης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κέντρο καταγγελιών</w:t>
      </w:r>
      <w:r>
        <w:rPr xmlns:w="http://schemas.openxmlformats.org/wordprocessingml/2006/main">
          <w:rFonts w:ascii="Calibri" w:cs="Calibri" w:eastAsia="Calibri" w:hAnsi="Calibri"/>
          <w:sz w:val="22"/>
          <w:szCs w:val="22"/>
          <w:color w:val="000000"/>
        </w:rPr>
        <w:t xml:space="preserve">), 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 την NFA</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η CFTC</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4" w:lineRule="exact"/>
        <w:rPr>
          <w:sz w:val="20"/>
          <w:szCs w:val="20"/>
          <w:color w:val="auto"/>
        </w:rPr>
      </w:pPr>
    </w:p>
    <w:tbl>
      <w:tblPr>
        <w:tblLayout w:type="fixed"/>
        <w:tblInd w:w="340" w:type="dxa"/>
        <w:tblCellMar>
          <w:top w:w="0" w:type="dxa"/>
          <w:left w:w="0" w:type="dxa"/>
          <w:bottom w:w="0" w:type="dxa"/>
          <w:right w:w="0" w:type="dxa"/>
        </w:tblCellMar>
      </w:tblPr>
      <w:tr>
        <w:trPr>
          <w:trHeight w:val="244"/>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Καταγγελία επενδυτή της FINRA</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Τίτλοι και χρηματιστήρια Η.Π.Α.</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9"/>
              </w:rPr>
              <w:t xml:space="preserve">Συμβόλαια μελλοντικής εκπλήρωσης επί βασικών εμπορευμάτων Η.Π.Α.</w:t>
            </w:r>
          </w:p>
        </w:tc>
      </w:tr>
      <w:tr>
        <w:trPr>
          <w:trHeight w:val="242"/>
        </w:trPr>
        <w:tc>
          <w:tcPr>
            <w:tcW w:w="234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Κέντρο</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Επιτροπή/Γραφείο</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2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Εμπορική Επιτροπή</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Εκπαίδευση και</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Κέντρο Three Lafayette</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Υπεράσπιση</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312-781-1300</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21η οδός, NW</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312-781-1467</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20581</w:t>
            </w:r>
          </w:p>
        </w:tc>
      </w:tr>
      <w:tr>
        <w:trPr>
          <w:trHeight w:val="242"/>
        </w:trPr>
        <w:tc>
          <w:tcPr>
            <w:tcW w:w="234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20549-0213</w:t>
            </w:r>
          </w:p>
        </w:tc>
        <w:tc>
          <w:tcPr>
            <w:tcW w:w="2580" w:type="dxa"/>
            <w:vAlign w:val="bottom"/>
          </w:tcPr>
          <w:p>
            <w:pPr>
              <w:spacing w:after="0"/>
              <w:rPr>
                <w:sz w:val="21"/>
                <w:szCs w:val="21"/>
                <w:color w:val="auto"/>
              </w:rPr>
            </w:pPr>
          </w:p>
        </w:tc>
        <w:tc>
          <w:tcPr>
            <w:tcW w:w="212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866-366-2382</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(86)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 772-9295</w:t>
            </w:r>
          </w:p>
        </w:tc>
        <w:tc>
          <w:tcPr>
            <w:tcW w:w="2580" w:type="dxa"/>
            <w:vAlign w:val="bottom"/>
          </w:tcPr>
          <w:p>
            <w:pPr>
              <w:spacing w:after="0"/>
              <w:rPr>
                <w:sz w:val="21"/>
                <w:szCs w:val="21"/>
                <w:color w:val="auto"/>
              </w:rPr>
            </w:pP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202-418-521</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2.4pt,1.15pt" o:allowincell="f" strokecolor="#000000" strokeweight="0.4799pt"/>
            </w:pict>
          </mc:Fallback>
        </mc:AlternateContent>
      </w:r>
    </w:p>
    <w:p>
      <w:pPr>
        <w:sectPr>
          <w:pgSz w:w="12240" w:h="15840" w:orient="portrait"/>
          <w:cols w:equalWidth="0" w:num="1">
            <w:col w:w="10540"/>
          </w:cols>
          <w:pgMar w:left="720" w:top="702" w:right="980" w:bottom="269"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540"/>
      </w:cols>
      <w:pgMar w:left="720" w:top="702" w:right="980" w:bottom="26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E47B0D9"/>
    <w:multiLevelType w:val="hybridMultilevel"/>
    <w:lvl w:ilvl="0">
      <w:lvlJc w:val="left"/>
      <w:lvlText w:val="·"/>
      <w:numFmt w:val="bullet"/>
      <w:start w:val="1"/>
    </w:lvl>
  </w:abstractNum>
  <w:abstractNum w:abstractNumId="1">
    <w:nsid w:val="2033842E"/>
    <w:multiLevelType w:val="hybridMultilevel"/>
    <w:lvl w:ilvl="0">
      <w:lvlJc w:val="left"/>
      <w:lvlText w:val="·"/>
      <w:numFmt w:val="bullet"/>
      <w:start w:val="1"/>
    </w:lvl>
  </w:abstractNum>
  <w:abstractNum w:abstractNumId="2">
    <w:nsid w:val="67970B66"/>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2024-05-20T14:24:45Z</dcterms:created>
  <dcterms:modified xsi:type="dcterms:W3CDTF">2024-05-20T14:24:45Z</dcterms:modified>
</cp:coreProperties>
</file>