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Έγγραφο βασικών πληροφοριών</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Αντικείμενο</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6"/>
          <w:szCs w:val="16"/>
          <w:color w:val="auto"/>
        </w:rPr>
        <w:t xml:space="preserve"> Δεν είναι υλικό μάρκετινγκ.</w:t>
      </w:r>
      <w:r>
        <w:rPr xmlns:w="http://schemas.openxmlformats.org/wordprocessingml/2006/main">
          <w:rFonts w:ascii="Arial" w:cs="Arial" w:eastAsia="Arial" w:hAnsi="Arial"/>
          <w:sz w:val="16"/>
          <w:szCs w:val="16"/>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Προϊόν</w:t>
      </w:r>
    </w:p>
    <w:p>
      <w:pPr>
        <w:spacing w:after="0" w:line="22" w:lineRule="exact"/>
        <w:rPr>
          <w:sz w:val="24"/>
          <w:szCs w:val="24"/>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6"/>
          <w:szCs w:val="16"/>
          <w:b w:val="1"/>
          <w:bCs w:val="1"/>
          <w:color w:val="auto"/>
        </w:rPr>
        <w:t xml:space="preserve">Μοιράζεται το φυσικό παλλάδιο ETC</w:t>
      </w:r>
      <w:r>
        <w:rPr xmlns:w="http://schemas.openxmlformats.org/wordprocessingml/2006/main">
          <w:rFonts w:ascii="Arial" w:cs="Arial" w:eastAsia="Arial" w:hAnsi="Arial"/>
          <w:sz w:val="16"/>
          <w:szCs w:val="16"/>
          <w:color w:val="auto"/>
        </w:rPr>
        <w:t xml:space="preserve"> (το "ETC"), ISIN:</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b w:val="1"/>
          <w:bCs w:val="1"/>
          <w:color w:val="auto"/>
        </w:rPr>
        <w:t xml:space="preserve">IE00B4556L06</w:t>
      </w:r>
      <w:r>
        <w:rPr xmlns:w="http://schemas.openxmlformats.org/wordprocessingml/2006/main">
          <w:rFonts w:ascii="Arial" w:cs="Arial" w:eastAsia="Arial" w:hAnsi="Arial"/>
          <w:sz w:val="16"/>
          <w:szCs w:val="16"/>
          <w:color w:val="auto"/>
        </w:rPr>
        <w:t xml:space="preserve">, κατασκευάζεται από την iShares Physical Metals plc (η "Εταιρεία").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Η εταιρεία έχει συσταθεί στην Ιρλανδία και εποπτεύεται από την Κεντρική Τράπεζα της Ιρλανδίας (η "CBI") σε σχέση με αυτό το KID.</w:t>
      </w:r>
      <w:r>
        <w:rPr xmlns:w="http://schemas.openxmlformats.org/wordprocessingml/2006/main">
          <w:rFonts w:ascii="Arial" w:cs="Arial" w:eastAsia="Arial" w:hAnsi="Arial"/>
          <w:sz w:val="16"/>
          <w:szCs w:val="16"/>
          <w:color w:val="auto"/>
        </w:rPr>
        <w:t xml:space="preserve"> Περισσότερες πληροφορίες διατίθενται στη διεύθυνση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ή με κλήση </w:t>
      </w:r>
      <w:r>
        <w:rPr xmlns:w="http://schemas.openxmlformats.org/wordprocessingml/2006/main">
          <w:rFonts w:ascii="Arial" w:cs="Arial" w:eastAsia="Arial" w:hAnsi="Arial"/>
          <w:sz w:val="16"/>
          <w:szCs w:val="16"/>
          <w:b w:val="1"/>
          <w:bCs w:val="1"/>
          <w:color w:val="auto"/>
        </w:rPr>
        <w:t xml:space="preserve">0845 357 700</w:t>
      </w:r>
      <w:r>
        <w:rPr xmlns:w="http://schemas.openxmlformats.org/wordprocessingml/2006/main">
          <w:rFonts w:ascii="Arial" w:cs="Arial" w:eastAsia="Arial" w:hAnsi="Arial"/>
          <w:sz w:val="16"/>
          <w:szCs w:val="16"/>
          <w:color w:val="auto"/>
        </w:rPr>
        <w:t xml:space="preserve">. Το έγγραφο αυτό φέρει ημερομηνία 02 Ιουνίου 2023.</w:t>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Προσοχή:</w:t>
      </w:r>
      <w:r>
        <w:rPr xmlns:w="http://schemas.openxmlformats.org/wordprocessingml/2006/main">
          <w:rFonts w:ascii="Arial" w:cs="Arial" w:eastAsia="Arial" w:hAnsi="Arial"/>
          <w:sz w:val="16"/>
          <w:szCs w:val="16"/>
          <w:b w:val="1"/>
          <w:bCs w:val="1"/>
          <w:color w:val="auto"/>
        </w:rPr>
        <w:t xml:space="preserve"> Επενδυτές στην Ισπανία - Με βάση τη δικαιοδοσία σας, είστε έτοιμοι να αγοράσετε ένα προϊόν που δεν είναι απλό και μπορεί να είναι δύσκολο να κατανοηθεί.</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είναι αυτό το προϊόν;</w:t>
      </w:r>
    </w:p>
    <w:p>
      <w:pPr>
        <w:spacing w:after="0" w:line="1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Τύπος:</w:t>
      </w:r>
      <w:r>
        <w:rPr xmlns:w="http://schemas.openxmlformats.org/wordprocessingml/2006/main">
          <w:rFonts w:ascii="Arial" w:cs="Arial" w:eastAsia="Arial" w:hAnsi="Arial"/>
          <w:sz w:val="16"/>
          <w:szCs w:val="16"/>
          <w:color w:val="auto"/>
        </w:rPr>
        <w:t xml:space="preserve"> Μετοχές Φυσικό Παλλάδιο ETC (η «ETC») είναι μια σειρά από εξασφαλισμένα χρεόγραφα που εκδίδονται από iShares Φυσικό Μέταλλα ανώνυμη εταιρεία (η «Εταιρεία») που συνδέονται με φυσικό παλλάδιο.</w:t>
      </w:r>
      <w:r>
        <w:rPr xmlns:w="http://schemas.openxmlformats.org/wordprocessingml/2006/main">
          <w:rFonts w:ascii="Arial" w:cs="Arial" w:eastAsia="Arial" w:hAnsi="Arial"/>
          <w:sz w:val="16"/>
          <w:szCs w:val="16"/>
          <w:color w:val="auto"/>
        </w:rPr>
        <w:t xml:space="preserve"> Οι τίτλοι ETC είναι εισηγμένοι στο Χρηματιστήριο του Λονδίνου, είναι δομημένοι ως χρεόγραφα και δεν αποτελούν μερίδια σε ένα σύστημα συλλογικών επενδύσεων.</w:t>
      </w:r>
    </w:p>
    <w:p>
      <w:pPr>
        <w:spacing w:after="0" w:line="1" w:lineRule="exact"/>
        <w:rPr>
          <w:sz w:val="24"/>
          <w:szCs w:val="24"/>
          <w:color w:val="auto"/>
        </w:rPr>
      </w:pPr>
    </w:p>
    <w:p>
      <w:pPr xmlns:w="http://schemas.openxmlformats.org/wordprocessingml/2006/main">
        <w:jc w:val="both"/>
        <w:spacing w:after="0" w:line="251" w:lineRule="auto"/>
        <w:rPr>
          <w:sz w:val="20"/>
          <w:szCs w:val="20"/>
          <w:color w:val="auto"/>
        </w:rPr>
      </w:pPr>
      <w:r>
        <w:rPr xmlns:w="http://schemas.openxmlformats.org/wordprocessingml/2006/main">
          <w:rFonts w:ascii="Arial" w:cs="Arial" w:eastAsia="Arial" w:hAnsi="Arial"/>
          <w:sz w:val="16"/>
          <w:szCs w:val="16"/>
          <w:b w:val="1"/>
          <w:bCs w:val="1"/>
          <w:color w:val="auto"/>
        </w:rPr>
        <w:t xml:space="preserve">Όρος:</w:t>
      </w:r>
      <w:r>
        <w:rPr xmlns:w="http://schemas.openxmlformats.org/wordprocessingml/2006/main">
          <w:rFonts w:ascii="Arial" w:cs="Arial" w:eastAsia="Arial" w:hAnsi="Arial"/>
          <w:sz w:val="16"/>
          <w:szCs w:val="16"/>
          <w:color w:val="auto"/>
        </w:rPr>
        <w:t xml:space="preserve"> Η ETC δεν έχει καθορισμένη διάρκεια ύπαρξης ή διάρκεια, αλλά σε ορισμένες περιπτώσεις μπορεί να πραγματοποιηθεί πρόωρη εξόφληση μετά την εκλογή της Εταιρείας ή (σε περίπτωση αθέτησης υποχρέωσης από την Εταιρεία) από τον διαχειριστή της, State Street Custodial Services (Ireland) Limited, υπό την προϋπόθεση προηγούμενης γραπτής προειδοποίησης, αν:</w:t>
      </w:r>
      <w:r>
        <w:rPr xmlns:w="http://schemas.openxmlformats.org/wordprocessingml/2006/main">
          <w:rFonts w:ascii="Arial" w:cs="Arial" w:eastAsia="Arial" w:hAnsi="Arial"/>
          <w:sz w:val="16"/>
          <w:szCs w:val="16"/>
          <w:color w:val="auto"/>
        </w:rPr>
        <w:t xml:space="preserve"> α) η εταιρεία ασκεί το δικαίωμα αγοράς ανά πάσα στιγμή με την προειδοποίηση 10 ημερών ότι εξαγοράζει τους τίτλους ETC·</w:t>
      </w:r>
      <w:r>
        <w:rPr xmlns:w="http://schemas.openxmlformats.org/wordprocessingml/2006/main">
          <w:rFonts w:ascii="Arial" w:cs="Arial" w:eastAsia="Arial" w:hAnsi="Arial"/>
          <w:sz w:val="16"/>
          <w:szCs w:val="16"/>
          <w:color w:val="auto"/>
        </w:rPr>
        <w:t xml:space="preserve"> (β) ορισμένες νομικές ή κανονιστικές αλλαγές συμβαίνουν σε σχέση με την Εταιρεία.</w:t>
      </w:r>
      <w:r>
        <w:rPr xmlns:w="http://schemas.openxmlformats.org/wordprocessingml/2006/main">
          <w:rFonts w:ascii="Arial" w:cs="Arial" w:eastAsia="Arial" w:hAnsi="Arial"/>
          <w:sz w:val="16"/>
          <w:szCs w:val="16"/>
          <w:color w:val="auto"/>
        </w:rPr>
        <w:t xml:space="preserve"> γ) η Εταιρεία είναι ή υπάρχει σημαντική πιθανότητα να είναι υποχρεωμένη να προβεί σε πληρωμή σε σχέση με τον ΦΠΑ, να εγγραφεί σε μητρώο ή να καταθέσει λογαριασμό για τον ΦΠΑ·</w:t>
      </w:r>
      <w:r>
        <w:rPr xmlns:w="http://schemas.openxmlformats.org/wordprocessingml/2006/main">
          <w:rFonts w:ascii="Arial" w:cs="Arial" w:eastAsia="Arial" w:hAnsi="Arial"/>
          <w:sz w:val="16"/>
          <w:szCs w:val="16"/>
          <w:color w:val="auto"/>
        </w:rPr>
        <w:t xml:space="preserve"> δ) ορισμένοι βασικοί πάροχοι υπηρεσιών της Εταιρείας παραιτούνται ή ο διορισμός τους τερματίζεται και δεν έχει διοριστεί διάδοχος εντός 60 ημερών·</w:t>
      </w:r>
      <w:r>
        <w:rPr xmlns:w="http://schemas.openxmlformats.org/wordprocessingml/2006/main">
          <w:rFonts w:ascii="Arial" w:cs="Arial" w:eastAsia="Arial" w:hAnsi="Arial"/>
          <w:sz w:val="16"/>
          <w:szCs w:val="16"/>
          <w:color w:val="auto"/>
        </w:rPr>
        <w:t xml:space="preserve"> ε) η Εταιρεία έχει αθετήσει τις υποχρεώσεις της για περισσότερες από 14 ημέρες σε πληρωμή ή παράδοση των τίτλων ETC·</w:t>
      </w:r>
      <w:r>
        <w:rPr xmlns:w="http://schemas.openxmlformats.org/wordprocessingml/2006/main">
          <w:rFonts w:ascii="Arial" w:cs="Arial" w:eastAsia="Arial" w:hAnsi="Arial"/>
          <w:sz w:val="16"/>
          <w:szCs w:val="16"/>
          <w:color w:val="auto"/>
        </w:rPr>
        <w:t xml:space="preserve"> στ) η Εταιρεία δεν εκπληρώνει ή δεν συμμορφώνεται με ουσιώδη υποχρέωση σύμφωνα με τους όρους των τίτλων ETC ή του τίτλου ή της πράξης εγγύησης ή καταπιστεύματος που αφορά τους τίτλους ETC, μετά τη λήξη της σχετικής περιόδου χάριτος·</w:t>
      </w:r>
      <w:r>
        <w:rPr xmlns:w="http://schemas.openxmlformats.org/wordprocessingml/2006/main">
          <w:rFonts w:ascii="Arial" w:cs="Arial" w:eastAsia="Arial" w:hAnsi="Arial"/>
          <w:sz w:val="16"/>
          <w:szCs w:val="16"/>
          <w:color w:val="auto"/>
        </w:rPr>
        <w:t xml:space="preserve"> ή ζ) η εταιρεία υπόκειται σε εκκαθάριση.</w:t>
      </w:r>
    </w:p>
    <w:p>
      <w:pPr>
        <w:spacing w:after="0" w:line="18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Στόχοι</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Οι τίτλοι ETC έχουν ως στόχο να παρέχουν επενδυτικό άνοιγμα σε φυσικό παλλάδιο και αποτιμώνται με βάση την τιμή του παλλαδίου Platinum και Palladium Market (LPPM) του Λονδίνου.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Η Εταιρεία διαθέτει φυσικό παλλάδιο.</w:t>
      </w:r>
      <w:r>
        <w:rPr xmlns:w="http://schemas.openxmlformats.org/wordprocessingml/2006/main">
          <w:rFonts w:ascii="Arial" w:cs="Arial" w:eastAsia="Arial" w:hAnsi="Arial"/>
          <w:sz w:val="16"/>
          <w:szCs w:val="16"/>
          <w:color w:val="auto"/>
        </w:rPr>
        <w:t xml:space="preserve"> Κάθε ασφάλεια ETC έχει ένα μεταλλικό δικαίωμα ("Metal Entitlement", το οποίο είναι το ποσό του φυσικού παλλαδίου που υποστηρίζει την ασφάλεια ETC) και η ημερήσια αξία του υπολογίζεται με βάση το ημερήσιο Metal Entitlement.</w:t>
      </w:r>
      <w:r>
        <w:rPr xmlns:w="http://schemas.openxmlformats.org/wordprocessingml/2006/main">
          <w:rFonts w:ascii="Arial" w:cs="Arial" w:eastAsia="Arial" w:hAnsi="Arial"/>
          <w:sz w:val="16"/>
          <w:szCs w:val="16"/>
          <w:color w:val="auto"/>
        </w:rPr>
        <w:t xml:space="preserve"> Το ημερήσιο Metal Entitlement υπάρχει στον ιστότοπο </w:t>
      </w:r>
      <w:r>
        <w:rPr xmlns:w="http://schemas.openxmlformats.org/wordprocessingml/2006/main">
          <w:rFonts w:ascii="Arial" w:cs="Arial" w:eastAsia="Arial" w:hAnsi="Arial"/>
          <w:sz w:val="16"/>
          <w:szCs w:val="16"/>
          <w:b w:val="1"/>
          <w:bCs w:val="1"/>
          <w:color w:val="auto"/>
        </w:rPr>
        <w:t xml:space="preserve">www.ishares.com.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-335915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Οι τίτλοι ETC είναι εισηγμένοι και αποτελούν αντικείμενο διαπραγμάτευσης στο χρηματιστήριο του Λονδίνου.</w:t>
      </w:r>
      <w:r>
        <w:rPr xmlns:w="http://schemas.openxmlformats.org/wordprocessingml/2006/main">
          <w:rFonts w:ascii="Arial" w:cs="Arial" w:eastAsia="Arial" w:hAnsi="Arial"/>
          <w:sz w:val="16"/>
          <w:szCs w:val="16"/>
          <w:color w:val="auto"/>
        </w:rPr>
        <w:t xml:space="preserve"> Υπό κανονικές συνθήκες, μόνο οι εξουσιοδοτημένοι συμμετέχοντες μπορούν να αγοράσουν και να πωλήσουν τους τίτλους ETC απευθείας στην Εταιρεία.</w:t>
      </w:r>
      <w:r>
        <w:rPr xmlns:w="http://schemas.openxmlformats.org/wordprocessingml/2006/main">
          <w:rFonts w:ascii="Arial" w:cs="Arial" w:eastAsia="Arial" w:hAnsi="Arial"/>
          <w:sz w:val="16"/>
          <w:szCs w:val="16"/>
          <w:color w:val="auto"/>
        </w:rPr>
        <w:t xml:space="preserve"> Οι επενδυτές που δεν είναι εξουσιοδοτημένοι συμμετέχοντες (π.χ. επιλεγμένα χρηματοπιστωτικά ιδρύματα) μπορούν γενικά να αγοράσουν ή να πωλήσουν μόνο τα αξιόγραφα ETC στη δευτερογενή αγορά (π.χ. μέσω ενός μεσίτη στο χρηματιστήριο του Λονδίνου) στην τότε επικρατούσα τιμή της αγοράς.</w:t>
      </w:r>
      <w:r>
        <w:rPr xmlns:w="http://schemas.openxmlformats.org/wordprocessingml/2006/main">
          <w:rFonts w:ascii="Arial" w:cs="Arial" w:eastAsia="Arial" w:hAnsi="Arial"/>
          <w:sz w:val="16"/>
          <w:szCs w:val="16"/>
          <w:color w:val="auto"/>
        </w:rPr>
        <w:t xml:space="preserve"> Η αγοραία τιμή που ισχύει για τις συναλλαγές τίτλων ETC στη δευτερογενή αγορά μπορεί να αποκλίνει από την ημερήσια αξία των τίτλων ETC και να μην αντανακλά με ακρίβεια την τιμή του πολύτιμου μετάλλου που αποτελούν το αντικείμενο των τίτλων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-574675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Η σχέση μεταξύ της απόδοσης της επένδυσής σας, πώς επηρεάζεται και το χρονικό διάστημα για το οποίο διατηρείτε την επένδυσή σας εξετάζεται παρακάτω στο «Πόσο καιρό θα πρέπει να την κρατήσω και μπορώ να βγάλω χρήματα νωρίς;»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Η τιμή του παλλαδίου κυμαίνεται καθημερινά και η αξία του παλλαδίου καθορίζεται από διάφορους παράγοντες, συμπεριλαμβανομένης της σπανιότητάς του, της χρήσης του σε βιομηχανικές διεργασίες και της χρήσης του ως επενδυτικού αγαθού.</w:t>
      </w:r>
      <w:r>
        <w:rPr xmlns:w="http://schemas.openxmlformats.org/wordprocessingml/2006/main">
          <w:rFonts w:ascii="Arial" w:cs="Arial" w:eastAsia="Arial" w:hAnsi="Arial"/>
          <w:sz w:val="16"/>
          <w:szCs w:val="16"/>
          <w:color w:val="auto"/>
        </w:rPr>
        <w:t xml:space="preserve"> Η τιμολόγηση των πολύτιμων μετάλλων μπορεί να επηρεαστεί από θεμελιώδη ζητήματα της προσφοράς και της ζήτησης, πολιτικές και οικονομικές καταστάσεις (ιδίως σε χώρες παραγωγής πολύτιμων μετάλλων) και φυσικές καταστροφές.</w:t>
      </w:r>
      <w:r>
        <w:rPr xmlns:w="http://schemas.openxmlformats.org/wordprocessingml/2006/main">
          <w:rFonts w:ascii="Arial" w:cs="Arial" w:eastAsia="Arial" w:hAnsi="Arial"/>
          <w:sz w:val="16"/>
          <w:szCs w:val="16"/>
          <w:color w:val="auto"/>
        </w:rPr>
        <w:t xml:space="preserve"> Αυτοί οι παράγοντες μπορεί όλοι να επηρεάσουν την αξία της επένδυσής σας.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4"/>
          <w:szCs w:val="24"/>
          <w:color w:val="auto"/>
        </w:rPr>
      </w:pP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Οι τίτλοι σας ETC εκφράζονται σε δολάρια ΗΠΑ, το βασικό νόμισμα της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Οι τίτλοι ETC είναι εισηγμένοι και αποτελούν αντικείμενο διαπραγμάτευσης σε νομίσματα διαφορετικά από το βασικό νόμισμα σε ένα ή περισσότερα χρηματιστήρια αξιών.</w:t>
      </w:r>
      <w:r>
        <w:rPr xmlns:w="http://schemas.openxmlformats.org/wordprocessingml/2006/main">
          <w:rFonts w:ascii="Arial" w:cs="Arial" w:eastAsia="Arial" w:hAnsi="Arial"/>
          <w:sz w:val="16"/>
          <w:szCs w:val="16"/>
          <w:color w:val="auto"/>
        </w:rPr>
        <w:t xml:space="preserve"> Η απόδοση των τίτλων ETC μπορεί να επηρεαστεί από αυτήν τη διαφορά νομίσματος.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Επιδιωκόμενος ιδιώτης επενδυτής:</w:t>
      </w:r>
      <w:r>
        <w:rPr xmlns:w="http://schemas.openxmlformats.org/wordprocessingml/2006/main">
          <w:rFonts w:ascii="Arial" w:cs="Arial" w:eastAsia="Arial" w:hAnsi="Arial"/>
          <w:sz w:val="16"/>
          <w:szCs w:val="16"/>
          <w:color w:val="auto"/>
        </w:rPr>
        <w:t xml:space="preserve"> Το ETC προορίζεται για ιδιώτες επενδυτές με την ικανότητα να αναλαμβάνουν ζημίες μέχρι το ποσό που επενδύεται στο ETC.</w:t>
      </w:r>
      <w:r>
        <w:rPr xmlns:w="http://schemas.openxmlformats.org/wordprocessingml/2006/main">
          <w:rFonts w:ascii="Arial" w:cs="Arial" w:eastAsia="Arial" w:hAnsi="Arial"/>
          <w:sz w:val="16"/>
          <w:szCs w:val="16"/>
          <w:color w:val="auto"/>
        </w:rPr>
        <w:t xml:space="preserve"> Οι τίτλοι ETC είναι κατάλληλοι για μεσομακροπρόθεσμες επενδύσεις, αν και οι τίτλοι ETC μπορεί επίσης να είναι κατάλληλοι για βραχυπρόθεσμα ανοίγματα (βλέπε περαιτέρω κατωτέρω «Πόσο καιρό θα πρέπει να το κρατήσει και μπορώ να βγάλω χρήματα έξω νωρίς;»).</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Παροχές ασφάλισης:</w:t>
      </w:r>
      <w:r>
        <w:rPr xmlns:w="http://schemas.openxmlformats.org/wordprocessingml/2006/main">
          <w:rFonts w:ascii="Arial" w:cs="Arial" w:eastAsia="Arial" w:hAnsi="Arial"/>
          <w:sz w:val="16"/>
          <w:szCs w:val="16"/>
          <w:color w:val="auto"/>
        </w:rPr>
        <w:t xml:space="preserve"> Το ETC δεν ριροσφέρει ασφαλιστικά οφέλη.</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Ποιοι είναι οι κίνδυνοι και τι θα μπορούσα να πάρω ως αντάλλαγμα;</w:t>
      </w:r>
    </w:p>
    <w:p>
      <w:pPr>
        <w:spacing w:after="0" w:line="2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-16510</wp:posOffset>
            </wp:positionV>
            <wp:extent cx="6839585" cy="895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spacing w:after="0"/>
        <w:tabs>
          <w:tab w:leader="none" w:pos="9980" w:val="left"/>
        </w:tabs>
        <w:rPr>
          <w:sz w:val="20"/>
          <w:szCs w:val="20"/>
          <w:color w:val="auto"/>
        </w:rPr>
      </w:pPr>
      <w:r>
        <w:rPr xmlns:w="http://schemas.openxmlformats.org/wordprocessingml/2006/main">
          <w:rFonts w:ascii="Arial" w:cs="Arial" w:eastAsia="Arial" w:hAnsi="Arial"/>
          <w:sz w:val="14"/>
          <w:szCs w:val="14"/>
          <w:b w:val="1"/>
          <w:bCs w:val="1"/>
          <w:color w:val="auto"/>
        </w:rPr>
        <w:t xml:space="preserve">Μείωση κινδύνου</w:t>
        <w:tab xmlns:w="http://schemas.openxmlformats.org/wordprocessingml/2006/main"/>
      </w:r>
      <w:r>
        <w:rPr xmlns:w="http://schemas.openxmlformats.org/wordprocessingml/2006/main">
          <w:rFonts w:ascii="Arial" w:cs="Arial" w:eastAsia="Arial" w:hAnsi="Arial"/>
          <w:sz w:val="14"/>
          <w:szCs w:val="14"/>
          <w:b w:val="1"/>
          <w:bCs w:val="1"/>
          <w:color w:val="auto"/>
        </w:rPr>
        <w:t xml:space="preserve">Υψηλότερος κίνδυνος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46355</wp:posOffset>
            </wp:positionV>
            <wp:extent cx="6840220" cy="651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0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Ο δείκτης κινδύνου υποθέτει ότι θα κρατήσει το προϊόν για 5 χρόνια.</w:t>
      </w:r>
      <w:r>
        <w:rPr xmlns:w="http://schemas.openxmlformats.org/wordprocessingml/2006/main">
          <w:rFonts w:ascii="Arial" w:cs="Arial" w:eastAsia="Arial" w:hAnsi="Arial"/>
          <w:sz w:val="16"/>
          <w:szCs w:val="16"/>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p>
    <w:p>
      <w:pPr>
        <w:spacing w:after="0" w:line="118" w:lineRule="exact"/>
        <w:rPr>
          <w:sz w:val="20"/>
          <w:szCs w:val="20"/>
          <w:color w:val="auto"/>
        </w:rPr>
      </w:pP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6"/>
          <w:szCs w:val="16"/>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Έχουμε ταξινομήσει αυτό το προϊόν ως 6 από 7, το οποίο είναι η δεύτερη υψηλότερη κατηγορία κινδύνου.</w:t>
      </w:r>
      <w:r>
        <w:rPr xmlns:w="http://schemas.openxmlformats.org/wordprocessingml/2006/main">
          <w:rFonts w:ascii="Arial" w:cs="Arial" w:eastAsia="Arial" w:hAnsi="Arial"/>
          <w:sz w:val="16"/>
          <w:szCs w:val="16"/>
          <w:color w:val="auto"/>
        </w:rPr>
        <w:t xml:space="preserve"> Αυτή η ταξινόμηση αξιολογεί τις πιθανές απώλειες από τις μελλοντικές επιδόσεις σε υψηλό επίπεδο και οι κακές συνθήκες της αγοράς θα μπορούσαν να επηρεάσουν την αξία της επένδυσής σας.</w:t>
      </w:r>
      <w:r>
        <w:rPr xmlns:w="http://schemas.openxmlformats.org/wordprocessingml/2006/main">
          <w:rFonts w:ascii="Arial" w:cs="Arial" w:eastAsia="Arial" w:hAnsi="Arial"/>
          <w:sz w:val="16"/>
          <w:szCs w:val="16"/>
          <w:color w:val="auto"/>
        </w:rPr>
        <w:t xml:space="preserve"> Η ταξινόμηση αυτή δεν είναι εγγυημένη και ενδέχεται να μεταβληθεί με την πάροδο του χρόνου και ενδέχεται να μην αποτελεί αξιόπιστη ένδειξη του μελλοντικού προφίλ κινδύνου της παρούσας ETC.</w:t>
      </w:r>
      <w:r>
        <w:rPr xmlns:w="http://schemas.openxmlformats.org/wordprocessingml/2006/main">
          <w:rFonts w:ascii="Arial" w:cs="Arial" w:eastAsia="Arial" w:hAnsi="Arial"/>
          <w:sz w:val="16"/>
          <w:szCs w:val="16"/>
          <w:color w:val="auto"/>
        </w:rPr>
        <w:t xml:space="preserve"> Η χαμηλότερη κατηγορία δεν σημαίνει μηδενικό κίνδυνο.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Να είστε ενήμεροι για τους συναλλαγματικούς κινδύνους.</w:t>
      </w:r>
      <w:r>
        <w:rPr xmlns:w="http://schemas.openxmlformats.org/wordprocessingml/2006/main">
          <w:rFonts w:ascii="Arial" w:cs="Arial" w:eastAsia="Arial" w:hAnsi="Arial"/>
          <w:sz w:val="16"/>
          <w:szCs w:val="16"/>
          <w:color w:val="auto"/>
        </w:rPr>
        <w:t xml:space="preserve"> Αν λάβετε πληρωμές σε νόμισμα διαφορετικό από το βασικό νόμισμα του προϊόντος, η τελική απόδοση που θα λάβετε εξαρτάται από τη συναλλαγματική ισοτιμία μεταξύ των δύο νομισμάτων.</w:t>
      </w:r>
      <w:r>
        <w:rPr xmlns:w="http://schemas.openxmlformats.org/wordprocessingml/2006/main">
          <w:rFonts w:ascii="Arial" w:cs="Arial" w:eastAsia="Arial" w:hAnsi="Arial"/>
          <w:sz w:val="16"/>
          <w:szCs w:val="16"/>
          <w:color w:val="auto"/>
        </w:rPr>
        <w:t xml:space="preserve"> Ο κίνδυνος αυτός δεν λαμβάνεται υπόψη στον προαναφερόμενο δείκτη.</w:t>
      </w:r>
      <w:r>
        <w:rPr xmlns:w="http://schemas.openxmlformats.org/wordprocessingml/2006/main">
          <w:rFonts w:ascii="Arial" w:cs="Arial" w:eastAsia="Arial" w:hAnsi="Arial"/>
          <w:sz w:val="16"/>
          <w:szCs w:val="16"/>
          <w:color w:val="auto"/>
        </w:rPr>
        <w:t xml:space="preserve"> Παρακαλείσθε να ανατρέξετε στο ενημερωτικό δελτίο του προϊόντος για λεπτομέρειες άλλων κινδύνων ουσιώδους σημασίας που ενδέχεται να ισχύουν για το προϊόν αυτό.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-7620</wp:posOffset>
            </wp:positionH>
            <wp:positionV relativeFrom="paragraph">
              <wp:posOffset>-89535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Αν το προϊόν δεν είναι σε θέση να σας πληρώσει τι οφείλεται, θα μπορούσατε να χάσετε ολόκληρη την επένδυσή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Πληροφορίες επενδυτικής απόδοσης</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Η τιμή του παλλαδίου είναι ασταθής.</w:t>
      </w:r>
      <w:r>
        <w:rPr xmlns:w="http://schemas.openxmlformats.org/wordprocessingml/2006/main">
          <w:rFonts w:ascii="Arial" w:cs="Arial" w:eastAsia="Arial" w:hAnsi="Arial"/>
          <w:sz w:val="16"/>
          <w:szCs w:val="16"/>
          <w:color w:val="auto"/>
        </w:rPr>
        <w:t xml:space="preserve"> Οι κινήσεις μπορούν να επηρεαστούν από διάφορους παράγοντες, όπως η προσφορά και η ζήτηση, οι γεωπολιτικές αβεβαιότητες, οι οικονομικές ανησυχίες όπως ο πληθωρισμός, και το πραγματικό ή κερδοσκοπικό ενδιαφέρον των επενδυτών.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Το σχετικό σημείο αναφοράς είναι η τιμή του παλλαδίου Platinum και Palladium Market (LPPM) του Λονδίνου και η απόδοση και η μεταβλητότητα θα παρακολουθούν το σημείο αναφοράς.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θα μπορούσε να επηρεάσει θετικά την επιστροφή μου;</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Οι ευνοϊκές συνθήκες για το παλλάδιο θα περιλάμβαναν αυξημένη ζήτηση έναντι της προσφοράς.</w:t>
      </w:r>
      <w:r>
        <w:rPr xmlns:w="http://schemas.openxmlformats.org/wordprocessingml/2006/main">
          <w:rFonts w:ascii="Arial" w:cs="Arial" w:eastAsia="Arial" w:hAnsi="Arial"/>
          <w:sz w:val="16"/>
          <w:szCs w:val="16"/>
          <w:color w:val="auto"/>
        </w:rPr>
        <w:t xml:space="preserve"> Τα πολύτιμα μέταλλα θεωρούνται αποθήκη αξίας, έτσι οποιαδήποτε πολιτική και οικονομική αβεβαιότητα και φόβοι για αποπληθωρισμό ή πληθωρισμό μπορούν να τονώσουν τη συσσώρευση και τις υψηλότερες τιμές.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θα μπορούσε να επηρεάσει την επιστροφή μου αρνητικά;</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Οι δυσμενείς συνθήκες για το παλλάδιο θα περιλαμβάνουν την αυξημένη προσφορά έναντι της ζήτησης.</w:t>
      </w:r>
      <w:r>
        <w:rPr xmlns:w="http://schemas.openxmlformats.org/wordprocessingml/2006/main">
          <w:rFonts w:ascii="Arial" w:cs="Arial" w:eastAsia="Arial" w:hAnsi="Arial"/>
          <w:sz w:val="16"/>
          <w:szCs w:val="16"/>
          <w:color w:val="auto"/>
        </w:rPr>
        <w:t xml:space="preserve"> Τα πολύτιμα μέταλλα θεωρούνται ως αποθήκη αξίας, έτσι η μείωση της πολιτικής και οικονομικής αβεβαιότητας και του αποπληθωρισμού ή των φόβων πληθωρισμού μπορεί να μειώσει τη συσσώρευση και τις χαμηλότερες τιμές.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Σε αντίξοες συνθήκες της αγοράς, αναμένεται ότι θα υπάρξουν αρνητικές αποδόσεις για τις περισσότερες κατηγορίες περιουσιακών στοιχείων, με τον επενδυτή πιθανόν να υποστεί ζημίες.</w:t>
      </w:r>
      <w:r>
        <w:rPr xmlns:w="http://schemas.openxmlformats.org/wordprocessingml/2006/main">
          <w:rFonts w:ascii="Arial" w:cs="Arial" w:eastAsia="Arial" w:hAnsi="Arial"/>
          <w:sz w:val="16"/>
          <w:szCs w:val="16"/>
          <w:color w:val="auto"/>
        </w:rPr>
        <w:t xml:space="preserve"> Η εξόφληση του επενδυτή υπό αυτές τις δυσμενείς συνθήκες μπορεί να υποστεί οικονομική ζημία λόγω αρνητικών επιδόσεων, κόστους διαπραγμάτευσης και δυνητικής έλλειψης ρευστότητας.</w:t>
      </w:r>
      <w:r>
        <w:rPr xmlns:w="http://schemas.openxmlformats.org/wordprocessingml/2006/main">
          <w:rFonts w:ascii="Arial" w:cs="Arial" w:eastAsia="Arial" w:hAnsi="Arial"/>
          <w:sz w:val="16"/>
          <w:szCs w:val="16"/>
          <w:color w:val="auto"/>
        </w:rPr>
        <w:t xml:space="preserve"> Αν και η τιμή των πολύτιμων μετάλλων μπορεί να είναι ευμετάβλητη βραχυπρόθεσμα, έχει διατηρήσει πάντα την αξία της μακροπρόθεσμα.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-454025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Τι συμβαίνει αν η iShares Physical Metals plc δεν είναι σε θέση να πληρώσει;</w:t>
      </w:r>
    </w:p>
    <w:p>
      <w:pPr>
        <w:spacing w:after="0" w:line="22"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Το υποκείμενο πολύτιμο μέταλλο του ETC κρατείται σε φύλαξη από τον Θεματοφύλακα της Εταιρείας, JPMorgan Chase Bank N.A. London Branch, και / ή υποθεματοφύλακες (που ορίζονται από τον Θεματοφύλακα).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Σε περίπτωση αφερεγγυότητας του θεματοφύλακα ή του θεματοφύλακα, δεν θίγεται το υποκείμενο μέταλλο της ETC στη φύλαξη των θεματοφυλάκων ή/και των υποθεματοφυλάκων.</w:t>
      </w:r>
      <w:r>
        <w:rPr xmlns:w="http://schemas.openxmlformats.org/wordprocessingml/2006/main">
          <w:rFonts w:ascii="Arial" w:cs="Arial" w:eastAsia="Arial" w:hAnsi="Arial"/>
          <w:sz w:val="16"/>
          <w:szCs w:val="16"/>
          <w:color w:val="auto"/>
        </w:rPr>
        <w:t xml:space="preserve"> Σε περίπτωση αφερεγγυότητας του Θεματοφύλακα ή οποιουδήποτε υποθεματοφύλακα, το καταμερισμένο μέταλλο που βρίσκεται στην κατοχή του Θεματοφύλακα ή οποιουδήποτε υποθεματοφύλακα σε έναν «Καταμερισμένο Λογαριασμό» (ο οποίος είναι ένας διαχωρισμένος λογαριασμός στον οποίο το μέταλλο διακρατείται σε επιμερισμένη μορφή) προς όφελος της Εταιρείας για το ETC θα πρέπει να προστατεύεται, δεδομένου ότι το εν λόγω μέταλλο θα πρέπει να προσδιορίζεται χωριστά από τα περιουσιακά στοιχεία του Θεματοφύλακα, κάθε υποθεματοφύλακα και των άλλων πελατών τους.</w:t>
      </w:r>
      <w:r>
        <w:rPr xmlns:w="http://schemas.openxmlformats.org/wordprocessingml/2006/main">
          <w:rFonts w:ascii="Arial" w:cs="Arial" w:eastAsia="Arial" w:hAnsi="Arial"/>
          <w:sz w:val="16"/>
          <w:szCs w:val="16"/>
          <w:color w:val="auto"/>
        </w:rPr>
        <w:t xml:space="preserve"> Η αποζημίωση δεν θα είναι διαθέσιμη στο πλαίσιο του βρετανικού συστήματος αποζημίωσης χρηματοπιστωτικών υπηρεσιών ή οποιουδήποτε άλλου συστήματος σε περίπτωση αφερεγγυότητας της εταιρείας, των θεματοφυλάκων, των υποθεματοφυλάκων, του υπευθύνου και/ή του εντολοδόχου.</w:t>
      </w:r>
    </w:p>
    <w:p>
      <w:pPr>
        <w:sectPr>
          <w:pgSz w:w="11900" w:h="16838" w:orient="portrait"/>
          <w:cols w:equalWidth="0" w:num="1">
            <w:col w:w="10760"/>
          </w:cols>
          <w:pgMar w:left="58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60"/>
          </w:cols>
          <w:pgMar w:left="58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Ποιο είναι το κόστος;</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Παρουσίαση των δαπανών</w:t>
      </w:r>
    </w:p>
    <w:p>
      <w:pPr>
        <w:spacing w:after="0" w:line="1"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Η μείωση της απόδοσης (RIY) δείχνει τι αντίκτυπο θα έχει το συνολικό κόστος που πληρώνετε στην απόδοση της επένδυσης που μπορεί να έχετε.</w:t>
      </w:r>
      <w:r>
        <w:rPr xmlns:w="http://schemas.openxmlformats.org/wordprocessingml/2006/main">
          <w:rFonts w:ascii="Arial" w:cs="Arial" w:eastAsia="Arial" w:hAnsi="Arial"/>
          <w:sz w:val="16"/>
          <w:szCs w:val="16"/>
          <w:color w:val="auto"/>
        </w:rPr>
        <w:t xml:space="preserve"> Το συνολικό κόστος λαμβάνει υπόψη εφάπαξ, τρέχουσες και περιστασιακές δαπάνες.</w:t>
      </w:r>
    </w:p>
    <w:p>
      <w:pPr xmlns:w="http://schemas.openxmlformats.org/wordprocessingml/2006/main">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Τα ποσά που αναφέρονται εδώ είναι το σωρευτικό κόστος του ίδιου του προϊόντος, για μία ή περισσότερες διαφορετικές περιόδους διατήρησης.</w:t>
      </w:r>
      <w:r>
        <w:rPr xmlns:w="http://schemas.openxmlformats.org/wordprocessingml/2006/main">
          <w:rFonts w:ascii="Arial" w:cs="Arial" w:eastAsia="Arial" w:hAnsi="Arial"/>
          <w:sz w:val="16"/>
          <w:szCs w:val="16"/>
          <w:color w:val="auto"/>
        </w:rPr>
        <w:t xml:space="preserve"> Τα στοιχεία υποθέτουν ότι επενδύετε 10.000 δολάρια ΗΠΑ.</w:t>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Διαχρονικά κόστη</w:t>
      </w:r>
    </w:p>
    <w:p>
      <w:pPr>
        <w:spacing w:after="0" w:line="14"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Το άτομο που σας πουλάει ή σας συμβουλεύει σχετικά με αυτό το προϊόν μπορεί να σας χρεώσει άλλα έξοδα.</w:t>
      </w:r>
      <w:r>
        <w:rPr xmlns:w="http://schemas.openxmlformats.org/wordprocessingml/2006/main">
          <w:rFonts w:ascii="Arial" w:cs="Arial" w:eastAsia="Arial" w:hAnsi="Arial"/>
          <w:sz w:val="16"/>
          <w:szCs w:val="16"/>
          <w:color w:val="auto"/>
        </w:rPr>
        <w:t xml:space="preserve"> Αν ναι, αυτό το άτομο θα σας παρέχει πληροφορίες σχετικά με αυτές τις δαπάνες και θα σας δείξει τον αντίκτυπο που θα έχει όλο το κόστος στην επένδυσή σας με την πάροδο του χρόνου.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6840220" cy="374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xmlns:w="http://schemas.openxmlformats.org/wordprocessingml/2006/main">
        <w:ind w:left="40"/>
        <w:spacing w:after="0" w:line="221" w:lineRule="auto"/>
        <w:rPr>
          <w:sz w:val="20"/>
          <w:szCs w:val="20"/>
          <w:color w:val="auto"/>
        </w:rPr>
      </w:pPr>
      <w:r>
        <w:rPr xmlns:w="http://schemas.openxmlformats.org/wordprocessingml/2006/main">
          <w:rFonts w:ascii="Arial" w:cs="Arial" w:eastAsia="Arial" w:hAnsi="Arial"/>
          <w:sz w:val="16"/>
          <w:szCs w:val="16"/>
          <w:b w:val="1"/>
          <w:bCs w:val="1"/>
          <w:color w:val="FFFFFF"/>
        </w:rPr>
        <w:t xml:space="preserve">Επένδυση 10.000 USD</w:t>
      </w:r>
    </w:p>
    <w:tbl>
      <w:tblPr>
        <w:tblLayout w:type="fixed"/>
        <w:tblInd w:w="0" w:type="dxa"/>
        <w:tblCellMar>
          <w:top w:w="0" w:type="dxa"/>
          <w:left w:w="0" w:type="dxa"/>
          <w:bottom w:w="0" w:type="dxa"/>
          <w:right w:w="0" w:type="dxa"/>
        </w:tblCellMar>
      </w:tblPr>
      <w:tr>
        <w:trPr>
          <w:trHeight w:val="203"/>
        </w:trPr>
        <w:tc>
          <w:tcPr>
            <w:tcW w:w="594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Σενάρια</w:t>
            </w:r>
          </w:p>
        </w:tc>
        <w:tc>
          <w:tcPr>
            <w:tcW w:w="1560" w:type="dxa"/>
            <w:vAlign w:val="bottom"/>
            <w:tcBorders>
              <w:top w:val="single" w:sz="8" w:color="auto"/>
            </w:tcBorders>
            <w:shd w:val="clear" w:color="auto" w:fill="000000"/>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εξαργυρώσετε μετά</w:t>
            </w:r>
          </w:p>
        </w:tc>
        <w:tc>
          <w:tcPr>
            <w:tcW w:w="162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εξαργυρώσετε μετά</w:t>
            </w:r>
          </w:p>
        </w:tc>
        <w:tc>
          <w:tcPr>
            <w:tcW w:w="168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εξαργυρώσετε μετά</w:t>
            </w:r>
          </w:p>
        </w:tc>
      </w:tr>
      <w:tr>
        <w:trPr>
          <w:trHeight w:val="176"/>
        </w:trPr>
        <w:tc>
          <w:tcPr>
            <w:tcW w:w="5940" w:type="dxa"/>
            <w:vAlign w:val="bottom"/>
            <w:tcBorders>
              <w:bottom w:val="single" w:sz="8" w:color="auto"/>
            </w:tcBorders>
          </w:tcPr>
          <w:p>
            <w:pPr>
              <w:spacing w:after="0"/>
              <w:rPr>
                <w:sz w:val="15"/>
                <w:szCs w:val="15"/>
                <w:color w:val="auto"/>
              </w:rPr>
            </w:pPr>
          </w:p>
        </w:tc>
        <w:tc>
          <w:tcPr>
            <w:tcW w:w="1560" w:type="dxa"/>
            <w:vAlign w:val="bottom"/>
            <w:tcBorders>
              <w:bottom w:val="single" w:sz="8" w:color="auto"/>
            </w:tcBorders>
            <w:shd w:val="clear" w:color="auto" w:fill="000000"/>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1 έτος</w:t>
            </w:r>
          </w:p>
        </w:tc>
        <w:tc>
          <w:tcPr>
            <w:tcW w:w="162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3 χρόνια</w:t>
            </w:r>
          </w:p>
        </w:tc>
        <w:tc>
          <w:tcPr>
            <w:tcW w:w="168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5 χρόνια</w:t>
            </w:r>
          </w:p>
        </w:tc>
      </w:tr>
      <w:tr>
        <w:trPr>
          <w:trHeight w:val="187"/>
        </w:trPr>
        <w:tc>
          <w:tcPr>
            <w:tcW w:w="594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Σύνολο δαπανών</w:t>
            </w:r>
          </w:p>
        </w:tc>
        <w:tc>
          <w:tcPr>
            <w:tcW w:w="15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24 USD</w:t>
            </w:r>
          </w:p>
        </w:tc>
        <w:tc>
          <w:tcPr>
            <w:tcW w:w="162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91 ΔΟΛΑΡΙΑ ΗΠΑ</w:t>
            </w:r>
          </w:p>
        </w:tc>
        <w:tc>
          <w:tcPr>
            <w:tcW w:w="16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213 ΔΟΛΑΡΙΑ ΗΠΑ</w:t>
            </w:r>
          </w:p>
        </w:tc>
      </w:tr>
      <w:tr>
        <w:trPr>
          <w:trHeight w:val="177"/>
        </w:trPr>
        <w:tc>
          <w:tcPr>
            <w:tcW w:w="594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Αντίκτυπος στην απόδοση (RIY) ανά έτος</w:t>
            </w:r>
          </w:p>
        </w:tc>
        <w:tc>
          <w:tcPr>
            <w:tcW w:w="1560" w:type="dxa"/>
            <w:vAlign w:val="bottom"/>
            <w:tcBorders>
              <w:bottom w:val="single" w:sz="8" w:color="auto"/>
            </w:tcBorders>
          </w:tcPr>
          <w:p>
            <w:pPr xmlns:w="http://schemas.openxmlformats.org/wordprocessingml/2006/main">
              <w:ind w:left="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0,24%</w:t>
            </w:r>
          </w:p>
        </w:tc>
        <w:tc>
          <w:tcPr>
            <w:tcW w:w="162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0,23%</w:t>
            </w:r>
          </w:p>
        </w:tc>
        <w:tc>
          <w:tcPr>
            <w:tcW w:w="168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0,23%</w:t>
            </w:r>
          </w:p>
        </w:tc>
      </w:tr>
      <w:tr>
        <w:trPr>
          <w:trHeight w:val="240"/>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Σύνθεση των εξόδων</w:t>
            </w:r>
          </w:p>
        </w:tc>
        <w:tc>
          <w:tcPr>
            <w:tcW w:w="156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1680" w:type="dxa"/>
            <w:vAlign w:val="bottom"/>
          </w:tcPr>
          <w:p>
            <w:pPr>
              <w:spacing w:after="0"/>
              <w:rPr>
                <w:sz w:val="20"/>
                <w:szCs w:val="20"/>
                <w:color w:val="auto"/>
              </w:rPr>
            </w:pPr>
          </w:p>
        </w:tc>
      </w:tr>
      <w:tr>
        <w:trPr>
          <w:trHeight w:val="246"/>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Ο παρακάτω πίνακας δείχνει:</w:t>
            </w:r>
          </w:p>
        </w:tc>
        <w:tc>
          <w:tcPr>
            <w:tcW w:w="15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680" w:type="dxa"/>
            <w:vAlign w:val="bottom"/>
          </w:tcPr>
          <w:p>
            <w:pPr>
              <w:spacing w:after="0"/>
              <w:rPr>
                <w:sz w:val="21"/>
                <w:szCs w:val="21"/>
                <w:color w:val="auto"/>
              </w:rPr>
            </w:pPr>
          </w:p>
        </w:tc>
      </w:tr>
    </w:tbl>
    <w:p>
      <w:pPr>
        <w:spacing w:after="0" w:line="56" w:lineRule="exact"/>
        <w:rPr>
          <w:sz w:val="20"/>
          <w:szCs w:val="20"/>
          <w:color w:val="auto"/>
        </w:rPr>
      </w:pPr>
    </w:p>
    <w:p>
      <w:pPr xmlns:w="http://schemas.openxmlformats.org/wordprocessingml/2006/main">
        <w:ind w:left="580" w:right="60" w:hanging="268"/>
        <w:spacing w:after="0" w:line="252" w:lineRule="auto"/>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τον αντίκτυπο κάθε έτους των διαφόρων τύπων δαπανών στην απόδοση της επένδυσης που μπορεί να έχετε στο τέλος της συνιστώμενης περιόδου εκμετάλλευσης.</w:t>
      </w:r>
    </w:p>
    <w:p>
      <w:pPr>
        <w:spacing w:after="0" w:line="194" w:lineRule="exact"/>
        <w:rPr>
          <w:rFonts w:ascii="Arial" w:cs="Arial" w:eastAsia="Arial" w:hAnsi="Arial"/>
          <w:sz w:val="16"/>
          <w:szCs w:val="16"/>
          <w:color w:val="auto"/>
        </w:rPr>
      </w:pPr>
    </w:p>
    <w:p>
      <w:pPr xmlns:w="http://schemas.openxmlformats.org/wordprocessingml/2006/main">
        <w:ind w:left="580" w:hanging="268"/>
        <w:spacing w:after="0"/>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η έννοια των διαφόρων κατηγοριών δαπανών.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29210</wp:posOffset>
            </wp:positionV>
            <wp:extent cx="6802120" cy="169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802120" cy="169545"/>
                    </a:xfrm>
                    <a:prstGeom prst="rect">
                      <a:avLst/>
                    </a:prstGeom>
                    <a:noFill/>
                  </pic:spPr>
                </pic:pic>
              </a:graphicData>
            </a:graphic>
          </wp:anchor>
        </w:drawing>
      </w:r>
    </w:p>
    <w:p>
      <w:pPr>
        <w:spacing w:after="0" w:line="72"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Αυτός ο πίνακας παρουσιάζει την επίπτωση στην απόδοση ανά έτος</w:t>
      </w:r>
    </w:p>
    <w:p>
      <w:pPr>
        <w:spacing w:after="0" w:line="83" w:lineRule="exact"/>
        <w:rPr>
          <w:sz w:val="20"/>
          <w:szCs w:val="20"/>
          <w:color w:val="auto"/>
        </w:rPr>
      </w:pPr>
    </w:p>
    <w:tbl>
      <w:tblPr>
        <w:tblLayout w:type="fixed"/>
        <w:tblInd w:w="40" w:type="dxa"/>
        <w:tblCellMar>
          <w:top w:w="0" w:type="dxa"/>
          <w:left w:w="0" w:type="dxa"/>
          <w:bottom w:w="0" w:type="dxa"/>
          <w:right w:w="0" w:type="dxa"/>
        </w:tblCellMar>
      </w:tblPr>
      <w:tr>
        <w:trPr>
          <w:trHeight w:val="205"/>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Εφάπαξ κόστος</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Κόστος εισόδου</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τέλος εισόδου.*</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Δαπάνες εξόδου</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τέλος εξόδου.*</w:t>
            </w:r>
          </w:p>
        </w:tc>
      </w:tr>
      <w:tr>
        <w:trPr>
          <w:trHeight w:val="236"/>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Τρέχουσες δαπάνες</w:t>
            </w: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Κόστος συναλλαγών χαρτοφυλακίου</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Ο αντίκτυπος του κόστους αγοράς και πώλησης υποκείμενων επενδύσεων για</w:t>
            </w:r>
          </w:p>
        </w:tc>
      </w:tr>
      <w:tr>
        <w:trPr>
          <w:trHeight w:val="202"/>
        </w:trPr>
        <w:tc>
          <w:tcPr>
            <w:tcW w:w="1600" w:type="dxa"/>
            <w:vAlign w:val="bottom"/>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το προϊόν.</w:t>
            </w:r>
            <w:r>
              <w:rPr xmlns:w="http://schemas.openxmlformats.org/wordprocessingml/2006/main">
                <w:rFonts w:ascii="Arial" w:cs="Arial" w:eastAsia="Arial" w:hAnsi="Arial"/>
                <w:sz w:val="16"/>
                <w:szCs w:val="16"/>
                <w:color w:val="auto"/>
              </w:rPr>
              <w:t xml:space="preserve"> Στο κόστος δεν λαμβάνεται υπόψη κανένα όφελος κατά της αραίωσης.</w:t>
            </w:r>
          </w:p>
        </w:tc>
      </w:tr>
      <w:tr>
        <w:trPr>
          <w:trHeight w:val="238"/>
        </w:trPr>
        <w:tc>
          <w:tcPr>
            <w:tcW w:w="1600" w:type="dxa"/>
            <w:vAlign w:val="bottom"/>
          </w:tcPr>
          <w:p>
            <w:pPr>
              <w:spacing w:after="0"/>
              <w:rPr>
                <w:sz w:val="20"/>
                <w:szCs w:val="20"/>
                <w:color w:val="auto"/>
              </w:rPr>
            </w:pP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Άλλες τρέχουσες δαπάνες</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0,23 %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Ο αντίκτυπος του κόστους που αναλαμβάνουμε κάθε χρόνο για τη διαχείριση του</w:t>
            </w:r>
          </w:p>
        </w:tc>
      </w:tr>
      <w:tr>
        <w:trPr>
          <w:trHeight w:val="190"/>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επενδύσεις.</w:t>
            </w:r>
            <w:r>
              <w:rPr xmlns:w="http://schemas.openxmlformats.org/wordprocessingml/2006/main">
                <w:rFonts w:ascii="Arial" w:cs="Arial" w:eastAsia="Arial" w:hAnsi="Arial"/>
                <w:sz w:val="16"/>
                <w:szCs w:val="16"/>
                <w:color w:val="auto"/>
              </w:rPr>
              <w:t xml:space="preserve"> Το κόστος κάθε υποκείμενου προϊόντος συμπεριλαμβάνεται εδώ με το</w:t>
            </w:r>
          </w:p>
        </w:tc>
      </w:tr>
      <w:tr>
        <w:trPr>
          <w:trHeight w:val="194"/>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που θα περιληφθούν ανωτέρω στο</w:t>
            </w:r>
          </w:p>
        </w:tc>
      </w:tr>
      <w:tr>
        <w:trPr>
          <w:trHeight w:val="200"/>
        </w:trPr>
        <w:tc>
          <w:tcPr>
            <w:tcW w:w="1600" w:type="dxa"/>
            <w:vAlign w:val="bottom"/>
            <w:tcBorders>
              <w:bottom w:val="single" w:sz="8" w:color="auto"/>
            </w:tcBorders>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'Κόστος συναλλαγών χαρτοφυλακίου'.**</w:t>
            </w:r>
          </w:p>
        </w:tc>
      </w:tr>
      <w:tr>
        <w:trPr>
          <w:trHeight w:val="250"/>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Παρεμπίπτοντα έξοδα</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Τέλη εκτέλεσης</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υπάρχει χρέωση απόδοσης για αυτό το προϊόν.</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Μεταφερόμενα συμφέροντα</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Δεν υπάρχουν μεταφερόμενα συμφέροντα για αυτό το προϊόν.</w:t>
            </w:r>
          </w:p>
        </w:tc>
      </w:tr>
    </w:tbl>
    <w:p>
      <w:pPr>
        <w:spacing w:after="0" w:line="108" w:lineRule="exact"/>
        <w:rPr>
          <w:sz w:val="20"/>
          <w:szCs w:val="20"/>
          <w:color w:val="auto"/>
        </w:rPr>
      </w:pPr>
    </w:p>
    <w:p>
      <w:pPr xmlns:w="http://schemas.openxmlformats.org/wordprocessingml/2006/main">
        <w:jc w:val="both"/>
        <w:ind w:left="780" w:right="100" w:hanging="708"/>
        <w:spacing w:after="0" w:line="257" w:lineRule="auto"/>
        <w:tabs>
          <w:tab w:leader="none" w:pos="780"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Δεν ισχύει για τους επενδυτές της δευτερογενούς αγοράς.</w:t>
      </w:r>
      <w:r>
        <w:rPr xmlns:w="http://schemas.openxmlformats.org/wordprocessingml/2006/main">
          <w:rFonts w:ascii="Arial" w:cs="Arial" w:eastAsia="Arial" w:hAnsi="Arial"/>
          <w:sz w:val="16"/>
          <w:szCs w:val="16"/>
          <w:color w:val="auto"/>
        </w:rPr>
        <w:t xml:space="preserve"> Οι επενδυτές που συναλλάσσονται μέσω χρηματιστηρίων θα πληρώνουν τα τέλη που χρεώνουν οι χρηματιστές.</w:t>
      </w:r>
      <w:r>
        <w:rPr xmlns:w="http://schemas.openxmlformats.org/wordprocessingml/2006/main">
          <w:rFonts w:ascii="Arial" w:cs="Arial" w:eastAsia="Arial" w:hAnsi="Arial"/>
          <w:sz w:val="16"/>
          <w:szCs w:val="16"/>
          <w:color w:val="auto"/>
        </w:rPr>
        <w:t xml:space="preserve"> Τα έξοδα αυτά μπορούν να ληφθούν από χρηματιστήρια όπου οι μετοχές είναι εισηγμένες και αποτελούν αντικείμενο διαπραγμάτευσης, ή από χρηματιστές.</w:t>
      </w:r>
      <w:r>
        <w:rPr xmlns:w="http://schemas.openxmlformats.org/wordprocessingml/2006/main">
          <w:rFonts w:ascii="Arial" w:cs="Arial" w:eastAsia="Arial" w:hAnsi="Arial"/>
          <w:sz w:val="16"/>
          <w:szCs w:val="16"/>
          <w:color w:val="auto"/>
        </w:rPr>
        <w:t xml:space="preserve"> Οι εξουσιοδοτημένοι συμμετέχοντες που συναλλάσσονται απευθείας με την Εταιρεία θα καταβάλλουν τα σχετικά έξοδα συναλλαγής.</w:t>
      </w:r>
    </w:p>
    <w:p>
      <w:pPr>
        <w:spacing w:after="0" w:line="43" w:lineRule="exact"/>
        <w:rPr>
          <w:rFonts w:ascii="Arial" w:cs="Arial" w:eastAsia="Arial" w:hAnsi="Arial"/>
          <w:sz w:val="16"/>
          <w:szCs w:val="16"/>
          <w:color w:val="auto"/>
        </w:rPr>
      </w:pPr>
    </w:p>
    <w:p>
      <w:pPr xmlns:w="http://schemas.openxmlformats.org/wordprocessingml/2006/main">
        <w:ind w:left="780" w:hanging="708"/>
        <w:spacing w:after="0"/>
        <w:tabs>
          <w:tab w:leader="none" w:pos="780" w:val="left"/>
        </w:tabs>
        <w:numPr>
          <w:ilvl w:val="0"/>
          <w:numId w:val="3"/>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Το ποσό αυτό βασίζεται στο εκτιμώμενο κόστος, που συχνά αναφέρεται σε ιστορικά δεδομένα και, επομένως, το πραγματικό κόστος που καταβάλλεται από έναν επενδυτή μπορεί να διαφέρει.</w:t>
      </w:r>
    </w:p>
    <w:p>
      <w:pPr>
        <w:spacing w:after="0" w:line="10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Πόσο καιρό θα πρέπει να το κρατήσω και μπορώ να βγάλω χρήματα νωρίς;</w:t>
      </w:r>
      <w:r>
        <w:rPr xmlns:w="http://schemas.openxmlformats.org/wordprocessingml/2006/main">
          <w:rFonts w:ascii="Arial" w:cs="Arial" w:eastAsia="Arial" w:hAnsi="Arial"/>
          <w:sz w:val="18"/>
          <w:szCs w:val="18"/>
          <w:b w:val="1"/>
          <w:bCs w:val="1"/>
          <w:color w:val="auto"/>
          <w:shd w:val="clear" w:color="auto" w:fill="72CA33"/>
        </w:rPr>
        <w:t xml:space="preserve"> Συνιστώμενη περίοδος διατήρησης:</w:t>
      </w:r>
      <w:r>
        <w:rPr xmlns:w="http://schemas.openxmlformats.org/wordprocessingml/2006/main">
          <w:rFonts w:ascii="Arial" w:cs="Arial" w:eastAsia="Arial" w:hAnsi="Arial"/>
          <w:sz w:val="18"/>
          <w:szCs w:val="18"/>
          <w:b w:val="1"/>
          <w:bCs w:val="1"/>
          <w:color w:val="auto"/>
          <w:shd w:val="clear" w:color="auto" w:fill="72CA33"/>
        </w:rPr>
        <w:t xml:space="preserve"> 5 χρόνια</w:t>
      </w:r>
    </w:p>
    <w:p>
      <w:pPr>
        <w:spacing w:after="0" w:line="28"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Η συνιστώμενη περίοδος εκμετάλλευσης (RHP) υπολογίστηκε σύμφωνα με την επενδυτική στρατηγική της ETC και το χρονοδιάγραμμα εντός του οποίου αναμένεται ότι θα είναι δυνατή η επίτευξη του επενδυτικού στόχου της ETC.</w:t>
      </w:r>
      <w:r>
        <w:rPr xmlns:w="http://schemas.openxmlformats.org/wordprocessingml/2006/main">
          <w:rFonts w:ascii="Arial" w:cs="Arial" w:eastAsia="Arial" w:hAnsi="Arial"/>
          <w:sz w:val="16"/>
          <w:szCs w:val="16"/>
          <w:color w:val="auto"/>
        </w:rPr>
        <w:t xml:space="preserve"> Οποιαδήποτε επένδυση θα πρέπει να εξετάζεται σε σχέση με τις συγκεκριμένες επενδυτικές ανάγκες σας και την όρεξή σας για κίνδυνο.</w:t>
      </w:r>
      <w:r>
        <w:rPr xmlns:w="http://schemas.openxmlformats.org/wordprocessingml/2006/main">
          <w:rFonts w:ascii="Arial" w:cs="Arial" w:eastAsia="Arial" w:hAnsi="Arial"/>
          <w:sz w:val="16"/>
          <w:szCs w:val="16"/>
          <w:color w:val="auto"/>
        </w:rPr>
        <w:t xml:space="preserve"> BlackRock δεν έχει εξετάσει την καταλληλότητα ή την καταλληλότητα αυτής της επένδυσης για τις προσωπικές σας συνθήκες.</w:t>
      </w:r>
      <w:r>
        <w:rPr xmlns:w="http://schemas.openxmlformats.org/wordprocessingml/2006/main">
          <w:rFonts w:ascii="Arial" w:cs="Arial" w:eastAsia="Arial" w:hAnsi="Arial"/>
          <w:sz w:val="16"/>
          <w:szCs w:val="16"/>
          <w:color w:val="auto"/>
        </w:rPr>
        <w:t xml:space="preserve"> Αν έχετε την παραμικρή αμφιβολία για την καταλληλότητα του ETC στις ανάγκες σας, θα πρέπει να αναζητήσετε τις κατάλληλες επαγγελματικές συμβουλές.</w:t>
      </w:r>
      <w:r>
        <w:rPr xmlns:w="http://schemas.openxmlformats.org/wordprocessingml/2006/main">
          <w:rFonts w:ascii="Arial" w:cs="Arial" w:eastAsia="Arial" w:hAnsi="Arial"/>
          <w:sz w:val="16"/>
          <w:szCs w:val="16"/>
          <w:color w:val="auto"/>
        </w:rPr>
        <w:t xml:space="preserve"> Μπορείτε να αγοράσετε ή να πουλήσετε τους τίτλους σας ETC καθημερινά στη δευτερογενή αγορά μέσω ενός μεσίτη.</w:t>
      </w:r>
      <w:r>
        <w:rPr xmlns:w="http://schemas.openxmlformats.org/wordprocessingml/2006/main">
          <w:rFonts w:ascii="Arial" w:cs="Arial" w:eastAsia="Arial" w:hAnsi="Arial"/>
          <w:sz w:val="16"/>
          <w:szCs w:val="16"/>
          <w:color w:val="auto"/>
        </w:rPr>
        <w:t xml:space="preserve"> Μπορεί να λάβετε λιγότερα από τα αναμενόμενα αν κάνετε χρήση μετρητών νωρίτερα από την RHP.</w:t>
      </w:r>
      <w:r>
        <w:rPr xmlns:w="http://schemas.openxmlformats.org/wordprocessingml/2006/main">
          <w:rFonts w:ascii="Arial" w:cs="Arial" w:eastAsia="Arial" w:hAnsi="Arial"/>
          <w:sz w:val="16"/>
          <w:szCs w:val="16"/>
          <w:color w:val="auto"/>
        </w:rPr>
        <w:t xml:space="preserve"> Ο RHP είναι μια εκτίμηση και δεν πρέπει να λαμβάνεται ως εγγύηση ή ένδειξη των μελλοντικών επιδόσεων, απόδοσης ή επιπέδων κινδύνου.</w:t>
      </w:r>
      <w:r>
        <w:rPr xmlns:w="http://schemas.openxmlformats.org/wordprocessingml/2006/main">
          <w:rFonts w:ascii="Arial" w:cs="Arial" w:eastAsia="Arial" w:hAnsi="Arial"/>
          <w:sz w:val="16"/>
          <w:szCs w:val="16"/>
          <w:color w:val="auto"/>
        </w:rPr>
        <w:t xml:space="preserve"> Για τυχόν χρεώσεις, επικοινωνήστε με το μεσίτη, τον οικονομικό σύμβουλο ή το διανομέα σας.</w:t>
      </w:r>
    </w:p>
    <w:p>
      <w:pPr>
        <w:spacing w:after="0" w:line="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Πώς μπορώ να παραπονεθώ;</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Αν δεν είστε απόλυτα ικανοποιημένοι με οποιαδήποτε πτυχή της υπηρεσίας που έχετε λάβει και θέλετε να διαμαρτυρηθείτε, οι λεπτομέρειες της διαδικασίας διαχείρισης παραπόνων μας είναι διαθέσιμες στη διεύθυνση www.blackrock.com/uk/individual/about-blackrock/contact-us.</w:t>
      </w:r>
      <w:r>
        <w:rPr xmlns:w="http://schemas.openxmlformats.org/wordprocessingml/2006/main">
          <w:rFonts w:ascii="Arial" w:cs="Arial" w:eastAsia="Arial" w:hAnsi="Arial"/>
          <w:sz w:val="16"/>
          <w:szCs w:val="16"/>
          <w:color w:val="auto"/>
        </w:rPr>
        <w:t xml:space="preserve"> Επιπλέον, μπορείτε επίσης να γράψετε στην Ομάδα Επενδυτικών Υπηρεσιών, στο BlackRock’s UK Registered Office, 12 Throgmorton Avenue, London, EC2N 2DL ή να τα στείλετε e-mail στο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Άλλες σχετικές πληροφορίες</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Η τελευταία έκδοση του παρόντος εγγράφου, το Βασικό Ενημερωτικό Δελτίο της ETC, η τελευταία ετήσια έκθεση, οι εξαμηνιαίες εκθέσεις και τα 10 έτη προηγούμενων επιδόσεων διατίθενται δωρεάν στα αγγλικά και σε ορισμένες άλλες γλώσσες, από τη διεύθυνση www.blackrock.com ή τηλεφωνώντας στο +44 (0)845 357 7000 ή από τον μεσίτη, τον οικονομικό σύμβουλο ή τον διανομέα σας.</w:t>
      </w:r>
    </w:p>
    <w:p>
      <w:pPr>
        <w:spacing w:after="0" w:line="1" w:lineRule="exact"/>
        <w:rPr>
          <w:sz w:val="20"/>
          <w:szCs w:val="20"/>
          <w:color w:val="auto"/>
        </w:rPr>
      </w:pPr>
    </w:p>
    <w:p>
      <w:pPr xmlns:w="http://schemas.openxmlformats.org/wordprocessingml/2006/main">
        <w:jc w:val="both"/>
        <w:ind w:left="20" w:right="40"/>
        <w:spacing w:after="0" w:line="259" w:lineRule="auto"/>
        <w:rPr>
          <w:sz w:val="20"/>
          <w:szCs w:val="20"/>
          <w:color w:val="auto"/>
        </w:rPr>
      </w:pPr>
      <w:r>
        <w:rPr xmlns:w="http://schemas.openxmlformats.org/wordprocessingml/2006/main">
          <w:rFonts w:ascii="Arial" w:cs="Arial" w:eastAsia="Arial" w:hAnsi="Arial"/>
          <w:sz w:val="16"/>
          <w:szCs w:val="16"/>
          <w:color w:val="auto"/>
        </w:rPr>
        <w:t xml:space="preserve">Ο δείκτης αναφοράς που αναφέρεται στο παρόν είναι η πνευματική ιδιοκτησία του/των παρόχου/-ων του δείκτη.</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Το προϊόν δεν υποστηρίζεται ή υποστηρίζεται από τον πάροχο ή τους παρόχους ευρετηρίου.</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Παρακαλείσθε να ανατρέξετε στο ενημερωτικό δελτίο του προϊόντος ή/και στη διεύθυνση www.blackrock.com για πλήρη αποποίηση ευθυνών.</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AFD4777"/>
    <w:multiLevelType w:val="hybridMultilevel"/>
    <w:lvl w:ilvl="0">
      <w:lvlJc w:val="left"/>
      <w:lvlText w:val="-"/>
      <w:numFmt w:val="bullet"/>
      <w:start w:val="1"/>
    </w:lvl>
  </w:abstractNum>
  <w:abstractNum w:abstractNumId="1">
    <w:nsid w:val="431FF669"/>
    <w:multiLevelType w:val="hybridMultilevel"/>
    <w:lvl w:ilvl="0">
      <w:lvlJc w:val="left"/>
      <w:lvlText w:val="*"/>
      <w:numFmt w:val="bullet"/>
      <w:start w:val="1"/>
    </w:lvl>
  </w:abstractNum>
  <w:abstractNum w:abstractNumId="2">
    <w:nsid w:val="4D4A4F4D"/>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pn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png"/><Relationship Id="rId34"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2024-05-20T15:38:38Z</dcterms:created>
  <dcterms:modified xsi:type="dcterms:W3CDTF">2024-05-20T15:38:38Z</dcterms:modified>
</cp:coreProperties>
</file>