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84"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ΟΣΕΚΑ ETF (το «Ταμείο»)</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Διανομή</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IE00B3RBWM25</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Διαχειριστής:</w:t>
      </w:r>
      <w:r>
        <w:rPr xmlns:w="http://schemas.openxmlformats.org/wordprocessingml/2006/main">
          <w:rFonts w:ascii="Arial" w:cs="Arial" w:eastAsia="Arial" w:hAnsi="Arial"/>
          <w:sz w:val="15"/>
          <w:szCs w:val="15"/>
          <w:color w:val="231F20"/>
        </w:rPr>
        <w:t xml:space="preserve"> Vanguard Group (Ιρλανδία)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84"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εφαρμόζει παθητική προσέγγιση διαχείρισης - ή δεικτοδότησης - επενδύσεων, μέσω της φυσικής απόκτησης τίτλων, και επιδιώκει να παρακολουθήσει την απόδοση του Παγκόσμιου Δείκτη FTSE (ο « Δείκτης »).</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αποτελείται από μεγάλα και μεσαίου μεγέθους αποθέματα εταιρειών σε αναπτυγμένες και αναδυόμενες αγορές.</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την απόδοση του δείκτη επενδύοντας σε ένα αντιπροσωπευτικό δείγμα τίτλων που αποτελούν δείκτες.</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επενδύει σε τίτλους που εκφράζονται σε νομίσματα διαφορετικά από το νόμισμα εισαγωγής.</w:t>
      </w:r>
      <w:r>
        <w:rPr xmlns:w="http://schemas.openxmlformats.org/wordprocessingml/2006/main">
          <w:rFonts w:ascii="Arial" w:cs="Arial" w:eastAsia="Arial" w:hAnsi="Arial"/>
          <w:sz w:val="16"/>
          <w:szCs w:val="16"/>
          <w:color w:val="231F20"/>
        </w:rPr>
        <w:t xml:space="preserve"> Οι κινήσεις στις συναλλαγματικές ισοτιμίες μπορούν να επηρεάσουν την απόδοση των επενδύσεων.</w:t>
      </w:r>
    </w:p>
    <w:p>
      <w:pPr>
        <w:spacing w:after="0" w:line="2"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xmlns:w="http://schemas.openxmlformats.org/wordprocessingml/2006/main">
        <w:ind w:left="140" w:hanging="140"/>
        <w:spacing w:after="0"/>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εισόδημα από τις μετοχές του ETF θα καταβάλλεται κανονικά σε τριμηνιαία βάση.</w:t>
      </w:r>
    </w:p>
    <w:p>
      <w:pPr>
        <w:spacing w:after="0" w:line="16" w:lineRule="exact"/>
        <w:rPr>
          <w:sz w:val="24"/>
          <w:szCs w:val="24"/>
          <w:color w:val="auto"/>
        </w:rPr>
      </w:pP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 που είναι μέλος σχετικού χρηματιστηρίου, ανά πάσα στιγμή, όταν το εν λόγω χρηματιστήριο είναι ανοικτό για συναλλαγές.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tabs>
          <w:tab w:leader="none" w:pos="1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w:spacing w:after="0" w:line="30" w:lineRule="exact"/>
        <w:rPr>
          <w:sz w:val="24"/>
          <w:szCs w:val="24"/>
          <w:color w:val="auto"/>
        </w:rPr>
      </w:pPr>
    </w:p>
    <w:p>
      <w:pPr xmlns:w="http://schemas.openxmlformats.org/wordprocessingml/2006/main">
        <w:ind w:left="140" w:hanging="140"/>
        <w:spacing w:after="0" w:line="250" w:lineRule="auto"/>
        <w:tabs>
          <w:tab w:leader="none" w:pos="140" w:val="left"/>
        </w:tabs>
        <w:numPr>
          <w:ilvl w:val="0"/>
          <w:numId w:val="8"/>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61"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884" w:orient="portrait"/>
          <w:cols w:equalWidth="0" w:num="2">
            <w:col w:w="5200" w:space="240"/>
            <w:col w:w="5200"/>
          </w:cols>
          <w:pgMar w:left="560" w:top="969" w:right="700" w:bottom="0" w:gutter="0" w:footer="0" w:header="0"/>
          <w:type w:val="continuous"/>
        </w:sectPr>
      </w:pPr>
    </w:p>
    <w:p>
      <w:pPr>
        <w:spacing w:after="0" w:line="1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ectPr>
          <w:pgSz w:w="11900" w:h="16884" w:orient="portrait"/>
          <w:cols w:equalWidth="0" w:num="1">
            <w:col w:w="10640"/>
          </w:cols>
          <w:pgMar w:left="560" w:top="969" w:right="700" w:bottom="0" w:gutter="0" w:footer="0" w:header="0"/>
          <w:type w:val="continuous"/>
        </w:sectPr>
      </w:pP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αποτελεί αξιόπιστη ένδειξη του μελλοντικού προφίλ κινδύνου του Ταμείου.</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έχει διαβάθμιση 6 λόγω της φύσης των επενδύσεών του,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 επενδύσεων του Ταμείου ή να εκθέσουν το Ταμείο σε ζημίες.</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ind w:left="140"/>
        <w:spacing w:after="0" w:line="234" w:lineRule="auto"/>
        <w:tabs>
          <w:tab w:leader="none" w:pos="23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μεταβολές στις συναλλαγματικές ισοτιμίες μπορούν να επηρεάσουν δυσμενώς την απόδοση της επένδυσής σας.</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21" w:lineRule="auto"/>
        <w:tabs>
          <w:tab w:leader="none" w:pos="22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6"/>
          <w:szCs w:val="16"/>
          <w:color w:val="231F20"/>
        </w:rPr>
        <w:t xml:space="preserve"> Άλλοι παράγοντες περιλαμβάνουν τον μεγαλύτερο «κίνδυνο ρευστότητας», τους περιορισμούς στις επενδύσεις ή τις μεταβιβάσεις περιουσιακών στοιχείων και την αποτυχημένη/ καθυστερημένη παράδοση τίτλων ή πληρωμών στο Ταμείο.</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140"/>
        <w:spacing w:after="0" w:line="226" w:lineRule="auto"/>
        <w:tabs>
          <w:tab w:leader="none" w:pos="26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απόδοσης δεν λαμβάνει υπόψη τους ακόλουθους κινδύνους επένδυσης στο Ταμείο:</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το Ταμείο σε οικονομική ζημία.</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3" w:lineRule="exact"/>
        <w:rPr>
          <w:sz w:val="24"/>
          <w:szCs w:val="24"/>
          <w:color w:val="auto"/>
        </w:rPr>
      </w:pPr>
    </w:p>
    <w:p>
      <w:pPr xmlns:w="http://schemas.openxmlformats.org/wordprocessingml/2006/main">
        <w:jc w:val="both"/>
        <w:ind w:left="140" w:hanging="140"/>
        <w:spacing w:after="0" w:line="234" w:lineRule="auto"/>
        <w:tabs>
          <w:tab w:leader="none" w:pos="1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Ωστόσο, το Ταμείο</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αναμένεται να παράσχει αποτελέσματα επενδύσεων που, πριν από τις δαπάνες, αντιστοιχούν γενικά στην τιμή και την απόδοση του δείκτη.</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μια τεχνική δειγματοληψίας δείκτη με την οποία επιλέγεται αντιπροσωπευτικό δείγμα τίτλων για να αντιπροσωπευθεί ο δείκτης, υπάρχει ο κίνδυνος οι τίτλοι που επιλέγονται για το Ταμείο να μην προσεγγίζουν συνολικά τον πλήρη δείκτη.</w:t>
      </w:r>
    </w:p>
    <w:p>
      <w:pPr>
        <w:spacing w:after="0" w:line="2" w:lineRule="exact"/>
        <w:rPr>
          <w:sz w:val="24"/>
          <w:szCs w:val="24"/>
          <w:color w:val="auto"/>
        </w:rPr>
      </w:pP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κινδύνους ανατρέξτε στην ενότητα «Παράγοντες κινδύνου» του ενημερωτικού δελτίου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2012.</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4B055C5"/>
    <w:multiLevelType w:val="hybridMultilevel"/>
    <w:lvl w:ilvl="0">
      <w:lvlJc w:val="left"/>
      <w:lvlText w:val="%1"/>
      <w:numFmt w:val="decimal"/>
      <w:start w:val="2"/>
    </w:lvl>
    <w:lvl w:ilvl="1">
      <w:lvlJc w:val="left"/>
      <w:lvlText w:val="%2."/>
      <w:numFmt w:val="decimal"/>
      <w:start w:val="1"/>
    </w:lvl>
  </w:abstractNum>
  <w:abstractNum w:abstractNumId="1">
    <w:nsid w:val="6AD0FA9"/>
    <w:multiLevelType w:val="hybridMultilevel"/>
    <w:lvl w:ilvl="0">
      <w:lvlJc w:val="left"/>
      <w:lvlText w:val="%1"/>
      <w:numFmt w:val="decimal"/>
      <w:start w:val="2"/>
    </w:lvl>
  </w:abstractNum>
  <w:abstractNum w:abstractNumId="2">
    <w:nsid w:val="19F391B4"/>
    <w:multiLevelType w:val="hybridMultilevel"/>
    <w:lvl w:ilvl="0">
      <w:lvlJc w:val="left"/>
      <w:lvlText w:val="%1"/>
      <w:numFmt w:val="decimal"/>
      <w:start w:val="2"/>
    </w:lvl>
  </w:abstractNum>
  <w:abstractNum w:abstractNumId="3">
    <w:nsid w:val="28B63175"/>
    <w:multiLevelType w:val="hybridMultilevel"/>
    <w:lvl w:ilvl="0">
      <w:lvlJc w:val="left"/>
      <w:lvlText w:val="%1"/>
      <w:numFmt w:val="decimal"/>
      <w:start w:val="2"/>
    </w:lvl>
  </w:abstractNum>
  <w:abstractNum w:abstractNumId="4">
    <w:nsid w:val="62EE0194"/>
    <w:multiLevelType w:val="hybridMultilevel"/>
    <w:lvl w:ilvl="0">
      <w:lvlJc w:val="left"/>
      <w:lvlText w:val="%1"/>
      <w:numFmt w:val="decimal"/>
      <w:start w:val="2"/>
    </w:lvl>
  </w:abstractNum>
  <w:abstractNum w:abstractNumId="5">
    <w:nsid w:val="69417113"/>
    <w:multiLevelType w:val="hybridMultilevel"/>
    <w:lvl w:ilvl="0">
      <w:lvlJc w:val="left"/>
      <w:lvlText w:val="%1"/>
      <w:numFmt w:val="decimal"/>
      <w:start w:val="2"/>
    </w:lvl>
  </w:abstractNum>
  <w:abstractNum w:abstractNumId="6">
    <w:nsid w:val="312F04FC"/>
    <w:multiLevelType w:val="hybridMultilevel"/>
    <w:lvl w:ilvl="0">
      <w:lvlJc w:val="left"/>
      <w:lvlText w:val="%1"/>
      <w:numFmt w:val="decimal"/>
      <w:start w:val="2"/>
    </w:lvl>
  </w:abstractNum>
  <w:abstractNum w:abstractNumId="7">
    <w:nsid w:val="1780A957"/>
    <w:multiLevelType w:val="hybridMultilevel"/>
    <w:lvl w:ilvl="0">
      <w:lvlJc w:val="left"/>
      <w:lvlText w:val="%1"/>
      <w:numFmt w:val="decimal"/>
      <w:start w:val="2"/>
    </w:lvl>
  </w:abstractNum>
  <w:abstractNum w:abstractNumId="8">
    <w:nsid w:val="559ADF72"/>
    <w:multiLevelType w:val="hybridMultilevel"/>
    <w:lvl w:ilvl="0">
      <w:lvlJc w:val="left"/>
      <w:lvlText w:val="%1"/>
      <w:numFmt w:val="decimal"/>
      <w:start w:val="2"/>
    </w:lvl>
  </w:abstractNum>
  <w:abstractNum w:abstractNumId="9">
    <w:nsid w:val="45B9ADCF"/>
    <w:multiLevelType w:val="hybridMultilevel"/>
    <w:lvl w:ilvl="0">
      <w:lvlJc w:val="left"/>
      <w:lvlText w:val="%1"/>
      <w:numFmt w:val="decimal"/>
      <w:start w:val="2"/>
    </w:lvl>
  </w:abstractNum>
  <w:abstractNum w:abstractNumId="10">
    <w:nsid w:val="7C37D310"/>
    <w:multiLevelType w:val="hybridMultilevel"/>
    <w:lvl w:ilvl="0">
      <w:lvlJc w:val="left"/>
      <w:lvlText w:val="-"/>
      <w:numFmt w:val="bullet"/>
      <w:start w:val="1"/>
    </w:lvl>
  </w:abstractNum>
  <w:abstractNum w:abstractNumId="11">
    <w:nsid w:val="1B0446A4"/>
    <w:multiLevelType w:val="hybridMultilevel"/>
    <w:lvl w:ilvl="0">
      <w:lvlJc w:val="left"/>
      <w:lvlText w:val="%1"/>
      <w:numFmt w:val="decimal"/>
      <w:start w:val="2"/>
    </w:lvl>
  </w:abstractNum>
  <w:abstractNum w:abstractNumId="12">
    <w:nsid w:val="67EAB215"/>
    <w:multiLevelType w:val="hybridMultilevel"/>
    <w:lvl w:ilvl="0">
      <w:lvlJc w:val="left"/>
      <w:lvlText w:val="%1"/>
      <w:numFmt w:val="decimal"/>
      <w:start w:val="2"/>
    </w:lvl>
  </w:abstractNum>
  <w:abstractNum w:abstractNumId="13">
    <w:nsid w:val="45E6ADE6"/>
    <w:multiLevelType w:val="hybridMultilevel"/>
    <w:lvl w:ilvl="0">
      <w:lvlJc w:val="left"/>
      <w:lvlText w:val="*"/>
      <w:numFmt w:val="bullet"/>
      <w:start w:val="1"/>
    </w:lvl>
  </w:abstractNum>
  <w:abstractNum w:abstractNumId="14">
    <w:nsid w:val="165414B1"/>
    <w:multiLevelType w:val="hybridMultilevel"/>
    <w:lvl w:ilvl="0">
      <w:lvlJc w:val="left"/>
      <w:lvlText w:val="%1"/>
      <w:numFmt w:val="decimal"/>
      <w:start w:val="2"/>
    </w:lvl>
  </w:abstractNum>
  <w:abstractNum w:abstractNumId="15">
    <w:nsid w:val="90CB2ED"/>
    <w:multiLevelType w:val="hybridMultilevel"/>
    <w:lvl w:ilvl="0">
      <w:lvlJc w:val="left"/>
      <w:lvlText w:val="%1"/>
      <w:numFmt w:val="decimal"/>
      <w:start w:val="2"/>
    </w:lvl>
  </w:abstractNum>
  <w:abstractNum w:abstractNumId="16">
    <w:nsid w:val="32D67BB9"/>
    <w:multiLevelType w:val="hybridMultilevel"/>
    <w:lvl w:ilvl="0">
      <w:lvlJc w:val="left"/>
      <w:lvlText w:val="%1"/>
      <w:numFmt w:val="decimal"/>
      <w:start w:val="2"/>
    </w:lvl>
  </w:abstractNum>
  <w:abstractNum w:abstractNumId="17">
    <w:nsid w:val="4B6C812E"/>
    <w:multiLevelType w:val="hybridMultilevel"/>
    <w:lvl w:ilvl="0">
      <w:lvlJc w:val="left"/>
      <w:lvlText w:val="%1"/>
      <w:numFmt w:val="decimal"/>
      <w:start w:val="2"/>
    </w:lvl>
  </w:abstractNum>
  <w:abstractNum w:abstractNumId="18">
    <w:nsid w:val="184EFD3E"/>
    <w:multiLevelType w:val="hybridMultilevel"/>
    <w:lvl w:ilvl="0">
      <w:lvlJc w:val="left"/>
      <w:lvlText w:val="%1"/>
      <w:numFmt w:val="decimal"/>
      <w:start w:val="2"/>
    </w:lvl>
  </w:abstractNum>
  <w:abstractNum w:abstractNumId="19">
    <w:nsid w:val="5DD7AC4F"/>
    <w:multiLevelType w:val="hybridMultilevel"/>
    <w:lvl w:ilvl="0">
      <w:lvlJc w:val="left"/>
      <w:lvlText w:val="%1"/>
      <w:numFmt w:val="decimal"/>
      <w:start w:val="2"/>
    </w:lvl>
  </w:abstractNum>
  <w:abstractNum w:abstractNumId="20">
    <w:nsid w:val="1E24E000"/>
    <w:multiLevelType w:val="hybridMultilevel"/>
    <w:lvl w:ilvl="0">
      <w:lvlJc w:val="left"/>
      <w:lvlText w:val="%1"/>
      <w:numFmt w:val="decimal"/>
      <w:start w:val="2"/>
    </w:lvl>
  </w:abstractNum>
  <w:abstractNum w:abstractNumId="21">
    <w:nsid w:val="1F12D641"/>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2024-05-20T15:45:18Z</dcterms:created>
  <dcterms:modified xsi:type="dcterms:W3CDTF">2024-05-20T15:45:18Z</dcterms:modified>
</cp:coreProperties>
</file>