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Standaardigeschuldoptie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schuldbewijzen</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Verordening (EU) nr. 1286/2014 voor gestandaardiseerde opties voor schuldbewijzen (a / k / a "beursgenoteerde opties").</w:t>
      </w:r>
      <w:r>
        <w:rPr xmlns:w="http://schemas.openxmlformats.org/wordprocessingml/2006/main">
          <w:rFonts w:ascii="Calibri" w:cs="Calibri" w:eastAsia="Calibri" w:hAnsi="Calibri"/>
          <w:sz w:val="22"/>
          <w:szCs w:val="22"/>
          <w:color w:val="auto"/>
        </w:rPr>
        <w:t xml:space="preserve"> Standaardopties voor schuldbewijzen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83"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niet handelen in opties voor schuldbewijzen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Er zijn twee soorten obligaties opties.</w:t>
      </w:r>
      <w:r>
        <w:rPr xmlns:w="http://schemas.openxmlformats.org/wordprocessingml/2006/main">
          <w:rFonts w:ascii="Calibri" w:cs="Calibri" w:eastAsia="Calibri" w:hAnsi="Calibri"/>
          <w:sz w:val="22"/>
          <w:szCs w:val="22"/>
          <w:color w:val="auto"/>
        </w:rPr>
        <w:t xml:space="preserve"> Prijsgebaseerde opties geven de houder (koper) het recht een bepaald onderliggend schuldbewijs te kopen of te verkopen of een contante betaling te ontvangen op basis van de waarde van een onderliggend schuldbewijs.</w:t>
      </w:r>
      <w:r>
        <w:rPr xmlns:w="http://schemas.openxmlformats.org/wordprocessingml/2006/main">
          <w:rFonts w:ascii="Calibri" w:cs="Calibri" w:eastAsia="Calibri" w:hAnsi="Calibri"/>
          <w:sz w:val="22"/>
          <w:szCs w:val="22"/>
          <w:color w:val="auto"/>
        </w:rPr>
        <w:t xml:space="preserve"> Op rendement gebaseerde opties geven houders het recht om contanten te ontvangen, op basis van het verschil tussen de uitoefenprijs en de waarde van een onderliggend rendement.</w:t>
      </w:r>
      <w:r>
        <w:rPr xmlns:w="http://schemas.openxmlformats.org/wordprocessingml/2006/main">
          <w:rFonts w:ascii="Calibri" w:cs="Calibri" w:eastAsia="Calibri" w:hAnsi="Calibri"/>
          <w:sz w:val="22"/>
          <w:szCs w:val="22"/>
          <w:color w:val="auto"/>
        </w:rPr>
        <w:t xml:space="preserve"> De blootstelling aan het onderliggende schuldbewijs is derhalve indirect voor beide soorten opties voor schuldbewijzen,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opties voor schuldbewijzen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opdracht krijgt toegewezen – om volgens de voorwaarden te presteren om het onderliggende schuldbewijs tegen de uitoefenprijs te kopen of te verkopen of om contanten te leveren op basis van het verschil tussen de uitoefenprijs en de waarde van het onderliggende schuldbewijs.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Opties op basis van rendement zijn typisch Europese opties.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9510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951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2.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909510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951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52.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80" w:hanging="214"/>
        <w:spacing w:after="0" w:line="22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 prijzen gebaseerde houder kan de volledige premie verliezen als de uitoefenprijs voor een call hoger is dan de huidige marktwaarde van de onderliggende waarde of als de uitoefenprijs voor een put lager is dan de marktwaarde.</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Op rendement gebaseerde opties vervallen uit het geld wanneer de uitoefenprijs van een calloptie boven het rendement van het onderliggende schuldbewijs ligt of, voor een put, wanneer de uitoefenprijs onder het rendement ligt.</w:t>
      </w:r>
      <w:r>
        <w:rPr xmlns:w="http://schemas.openxmlformats.org/wordprocessingml/2006/main">
          <w:rFonts w:ascii="Calibri" w:cs="Calibri" w:eastAsia="Calibri" w:hAnsi="Calibri"/>
          <w:sz w:val="22"/>
          <w:szCs w:val="22"/>
          <w:color w:val="auto"/>
        </w:rPr>
        <w:t xml:space="preserve"> Een houder die zijn optie niet vóór het verstrijken van de looptijd verkoopt of uitoefent, kan zijn volledige investering verliezen.</w:t>
      </w:r>
    </w:p>
    <w:p>
      <w:pPr>
        <w:spacing w:after="0" w:line="78"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6"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8"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17310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1731010"/>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17310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1731010"/>
                    </a:xfrm>
                    <a:prstGeom prst="rect">
                      <a:avLst/>
                    </a:prstGeom>
                    <a:noFill/>
                  </pic:spPr>
                </pic:pic>
              </a:graphicData>
            </a:graphic>
          </wp:anchor>
        </w:drawing>
      </w:r>
    </w:p>
    <w:p>
      <w:pPr>
        <w:sectPr>
          <w:pgSz w:w="12240" w:h="15840" w:orient="portrait"/>
          <w:cols w:equalWidth="0" w:num="1">
            <w:col w:w="10300"/>
          </w:cols>
          <w:pgMar w:left="940" w:top="706" w:right="1000" w:bottom="267" w:gutter="0" w:footer="0" w:header="0"/>
        </w:sectPr>
      </w:pPr>
    </w:p>
    <w:p>
      <w:pPr>
        <w:spacing w:after="0" w:line="165" w:lineRule="exact"/>
        <w:rPr>
          <w:sz w:val="20"/>
          <w:szCs w:val="20"/>
          <w:color w:val="auto"/>
        </w:rPr>
      </w:pPr>
    </w:p>
    <w:tbl>
      <w:tblPr>
        <w:tblLayout w:type="fixed"/>
        <w:tblInd w:w="400" w:type="dxa"/>
        <w:tblCellMar>
          <w:top w:w="0" w:type="dxa"/>
          <w:left w:w="0" w:type="dxa"/>
          <w:bottom w:w="0" w:type="dxa"/>
          <w:right w:w="0" w:type="dxa"/>
        </w:tblCellMar>
      </w:tblPr>
      <w:tr>
        <w:trPr>
          <w:trHeight w:val="208"/>
        </w:trPr>
        <w:tc>
          <w:tcPr>
            <w:tcW w:w="180" w:type="dxa"/>
            <w:vAlign w:val="bottom"/>
          </w:tcPr>
          <w:p>
            <w:pPr>
              <w:spacing w:after="0"/>
              <w:rPr>
                <w:sz w:val="18"/>
                <w:szCs w:val="18"/>
                <w:color w:val="auto"/>
              </w:rPr>
            </w:pPr>
          </w:p>
        </w:tc>
        <w:tc>
          <w:tcPr>
            <w:tcW w:w="5360" w:type="dxa"/>
            <w:vAlign w:val="bottom"/>
            <w:gridSpan w:val="7"/>
          </w:tcPr>
          <w:p>
            <w:pPr xmlns:w="http://schemas.openxmlformats.org/wordprocessingml/2006/main">
              <w:jc w:val="right"/>
              <w:ind w:right="230"/>
              <w:spacing w:after="0"/>
              <w:rPr>
                <w:sz w:val="20"/>
                <w:szCs w:val="20"/>
                <w:color w:val="auto"/>
              </w:rPr>
            </w:pPr>
            <w:r>
              <w:rPr xmlns:w="http://schemas.openxmlformats.org/wordprocessingml/2006/main">
                <w:rFonts w:ascii="Calibri" w:cs="Calibri" w:eastAsia="Calibri" w:hAnsi="Calibri"/>
                <w:sz w:val="17"/>
                <w:szCs w:val="17"/>
                <w:color w:val="595959"/>
              </w:rPr>
              <w:t xml:space="preserve">P / L van het houden van een op prijs gebaseerde put (Premium $ 5; uitoefenprijs $ 45)</w:t>
            </w: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$ 30</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1"/>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78"/>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7"/>
                <w:szCs w:val="17"/>
                <w:color w:val="595959"/>
                <w:w w:val="97"/>
              </w:rPr>
              <w:t xml:space="preserve">P/L</w:t>
            </w: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180" w:type="dxa"/>
            <w:vAlign w:val="bottom"/>
            <w:vMerge w:val="continue"/>
          </w:tcPr>
          <w:p>
            <w:pPr>
              <w:spacing w:after="0"/>
              <w:rPr>
                <w:sz w:val="2"/>
                <w:szCs w:val="2"/>
                <w:color w:val="auto"/>
              </w:rPr>
            </w:pPr>
          </w:p>
        </w:tc>
        <w:tc>
          <w:tcPr>
            <w:tcW w:w="920" w:type="dxa"/>
            <w:vAlign w:val="bottom"/>
          </w:tcPr>
          <w:p>
            <w:pPr>
              <w:spacing w:after="0"/>
              <w:rPr>
                <w:sz w:val="2"/>
                <w:szCs w:val="2"/>
                <w:color w:val="auto"/>
              </w:rPr>
            </w:pPr>
          </w:p>
        </w:tc>
        <w:tc>
          <w:tcPr>
            <w:tcW w:w="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80" w:type="dxa"/>
            <w:vAlign w:val="bottom"/>
          </w:tcPr>
          <w:p>
            <w:pPr>
              <w:spacing w:after="0"/>
              <w:rPr>
                <w:sz w:val="2"/>
                <w:szCs w:val="2"/>
                <w:color w:val="auto"/>
              </w:rPr>
            </w:pPr>
          </w:p>
        </w:tc>
        <w:tc>
          <w:tcPr>
            <w:tcW w:w="740" w:type="dxa"/>
            <w:vAlign w:val="bottom"/>
          </w:tcPr>
          <w:p>
            <w:pPr>
              <w:spacing w:after="0"/>
              <w:rPr>
                <w:sz w:val="2"/>
                <w:szCs w:val="2"/>
                <w:color w:val="auto"/>
              </w:rPr>
            </w:pPr>
          </w:p>
        </w:tc>
        <w:tc>
          <w:tcPr>
            <w:tcW w:w="800" w:type="dxa"/>
            <w:vAlign w:val="bottom"/>
          </w:tcPr>
          <w:p>
            <w:pPr>
              <w:spacing w:after="0"/>
              <w:rPr>
                <w:sz w:val="2"/>
                <w:szCs w:val="2"/>
                <w:color w:val="auto"/>
              </w:rPr>
            </w:pPr>
          </w:p>
        </w:tc>
        <w:tc>
          <w:tcPr>
            <w:tcW w:w="58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0"/>
        </w:trPr>
        <w:tc>
          <w:tcPr>
            <w:tcW w:w="180" w:type="dxa"/>
            <w:vAlign w:val="bottom"/>
          </w:tcPr>
          <w:p>
            <w:pPr>
              <w:spacing w:after="0"/>
              <w:rPr>
                <w:sz w:val="21"/>
                <w:szCs w:val="21"/>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8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800" w:type="dxa"/>
            <w:vAlign w:val="bottom"/>
          </w:tcPr>
          <w:p>
            <w:pPr>
              <w:spacing w:after="0"/>
              <w:rPr>
                <w:sz w:val="21"/>
                <w:szCs w:val="21"/>
                <w:color w:val="auto"/>
              </w:rPr>
            </w:pPr>
          </w:p>
        </w:tc>
        <w:tc>
          <w:tcPr>
            <w:tcW w:w="58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1"/>
        </w:trPr>
        <w:tc>
          <w:tcPr>
            <w:tcW w:w="180" w:type="dxa"/>
            <w:vAlign w:val="bottom"/>
          </w:tcPr>
          <w:p>
            <w:pPr>
              <w:spacing w:after="0"/>
              <w:rPr>
                <w:sz w:val="24"/>
                <w:szCs w:val="24"/>
                <w:color w:val="auto"/>
              </w:rPr>
            </w:pPr>
          </w:p>
        </w:tc>
        <w:tc>
          <w:tcPr>
            <w:tcW w:w="920" w:type="dxa"/>
            <w:vAlign w:val="bottom"/>
          </w:tcPr>
          <w:p>
            <w:pPr xmlns:w="http://schemas.openxmlformats.org/wordprocessingml/2006/main">
              <w:jc w:val="right"/>
              <w:ind w:right="451"/>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920" w:type="dxa"/>
            <w:vAlign w:val="bottom"/>
          </w:tcPr>
          <w:p>
            <w:pPr xmlns:w="http://schemas.openxmlformats.org/wordprocessingml/2006/main">
              <w:jc w:val="right"/>
              <w:ind w:right="191"/>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78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780" w:type="dxa"/>
            <w:vAlign w:val="bottom"/>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78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74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80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$ 120</w:t>
            </w:r>
          </w:p>
        </w:tc>
        <w:tc>
          <w:tcPr>
            <w:tcW w:w="0" w:type="dxa"/>
            <w:vAlign w:val="bottom"/>
          </w:tcPr>
          <w:p>
            <w:pPr>
              <w:spacing w:after="0"/>
              <w:rPr>
                <w:sz w:val="1"/>
                <w:szCs w:val="1"/>
                <w:color w:val="auto"/>
              </w:rPr>
            </w:pPr>
          </w:p>
        </w:tc>
      </w:tr>
      <w:tr>
        <w:trPr>
          <w:trHeight w:val="269"/>
        </w:trPr>
        <w:tc>
          <w:tcPr>
            <w:tcW w:w="180" w:type="dxa"/>
            <w:vAlign w:val="bottom"/>
          </w:tcPr>
          <w:p>
            <w:pPr>
              <w:spacing w:after="0"/>
              <w:rPr>
                <w:sz w:val="23"/>
                <w:szCs w:val="23"/>
                <w:color w:val="auto"/>
              </w:rPr>
            </w:pPr>
          </w:p>
        </w:tc>
        <w:tc>
          <w:tcPr>
            <w:tcW w:w="920" w:type="dxa"/>
            <w:vAlign w:val="bottom"/>
          </w:tcPr>
          <w:p>
            <w:pPr>
              <w:spacing w:after="0"/>
              <w:rPr>
                <w:sz w:val="23"/>
                <w:szCs w:val="23"/>
                <w:color w:val="auto"/>
              </w:rPr>
            </w:pPr>
          </w:p>
        </w:tc>
        <w:tc>
          <w:tcPr>
            <w:tcW w:w="780" w:type="dxa"/>
            <w:vAlign w:val="bottom"/>
          </w:tcPr>
          <w:p>
            <w:pPr>
              <w:spacing w:after="0"/>
              <w:rPr>
                <w:sz w:val="23"/>
                <w:szCs w:val="23"/>
                <w:color w:val="auto"/>
              </w:rPr>
            </w:pPr>
          </w:p>
        </w:tc>
        <w:tc>
          <w:tcPr>
            <w:tcW w:w="2300" w:type="dxa"/>
            <w:vAlign w:val="bottom"/>
            <w:gridSpan w:val="3"/>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7"/>
                <w:szCs w:val="17"/>
                <w:color w:val="595959"/>
              </w:rPr>
              <w:t xml:space="preserve">Marktprijs van de onderliggende</w:t>
            </w:r>
          </w:p>
        </w:tc>
        <w:tc>
          <w:tcPr>
            <w:tcW w:w="800" w:type="dxa"/>
            <w:vAlign w:val="bottom"/>
          </w:tcPr>
          <w:p>
            <w:pPr>
              <w:spacing w:after="0"/>
              <w:rPr>
                <w:sz w:val="23"/>
                <w:szCs w:val="23"/>
                <w:color w:val="auto"/>
              </w:rPr>
            </w:pPr>
          </w:p>
        </w:tc>
        <w:tc>
          <w:tcPr>
            <w:tcW w:w="580" w:type="dxa"/>
            <w:vAlign w:val="bottom"/>
          </w:tcPr>
          <w:p>
            <w:pPr>
              <w:spacing w:after="0"/>
              <w:rPr>
                <w:sz w:val="23"/>
                <w:szCs w:val="23"/>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$15</w:t>
      </w:r>
    </w:p>
    <w:p>
      <w:pPr>
        <w:spacing w:after="0" w:line="123" w:lineRule="exact"/>
        <w:rPr>
          <w:sz w:val="20"/>
          <w:szCs w:val="20"/>
          <w:color w:val="auto"/>
        </w:rPr>
      </w:pPr>
    </w:p>
    <w:p>
      <w:pPr xmlns:w="http://schemas.openxmlformats.org/wordprocessingml/2006/main">
        <w:ind w:left="720" w:hanging="357"/>
        <w:spacing w:after="0"/>
        <w:tabs>
          <w:tab w:leader="none" w:pos="72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$ 25</w:t>
      </w:r>
    </w:p>
    <w:p>
      <w:pPr xmlns:w="http://schemas.openxmlformats.org/wordprocessingml/2006/main">
        <w:ind w:left="360"/>
        <w:spacing w:after="0" w:line="211" w:lineRule="auto"/>
        <w:tabs>
          <w:tab w:leader="none" w:pos="700" w:val="left"/>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+$ 25</w:t>
      </w:r>
    </w:p>
    <w:p>
      <w:pPr>
        <w:spacing w:after="0" w:line="1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Verhuizing (</w:t>
      </w:r>
      <w:r>
        <w:rPr xmlns:w="http://schemas.openxmlformats.org/wordprocessingml/2006/main">
          <w:rFonts w:ascii="Calibri" w:cs="Calibri" w:eastAsia="Calibri" w:hAnsi="Calibri"/>
          <w:sz w:val="16"/>
          <w:szCs w:val="16"/>
          <w:u w:val="single" w:color="auto"/>
          <w:color w:val="00B050"/>
        </w:rPr>
        <w:t xml:space="preserve">Groen Perceel 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$35</w:t>
      </w:r>
    </w:p>
    <w:p>
      <w:pPr>
        <w:spacing w:after="0" w:line="120" w:lineRule="exact"/>
        <w:rPr>
          <w:sz w:val="20"/>
          <w:szCs w:val="20"/>
          <w:color w:val="auto"/>
        </w:rPr>
      </w:pPr>
    </w:p>
    <w:p>
      <w:pPr xmlns:w="http://schemas.openxmlformats.org/wordprocessingml/2006/main">
        <w:ind w:left="720" w:hanging="357"/>
        <w:spacing w:after="0"/>
        <w:tabs>
          <w:tab w:leader="none" w:pos="72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w:t>
      </w:r>
    </w:p>
    <w:p>
      <w:pPr xmlns:w="http://schemas.openxmlformats.org/wordprocessingml/2006/main">
        <w:ind w:left="360"/>
        <w:spacing w:after="0" w:line="211" w:lineRule="auto"/>
        <w:tabs>
          <w:tab w:leader="none" w:pos="700" w:val="left"/>
          <w:tab w:leader="none" w:pos="220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sz w:val="20"/>
          <w:szCs w:val="20"/>
          <w:color w:val="auto"/>
        </w:rPr>
        <w:tab xmlns:w="http://schemas.openxmlformats.org/wordprocessingml/2006/main"/>
      </w:r>
      <w:r>
        <w:rPr xmlns:w="http://schemas.openxmlformats.org/wordprocessingml/2006/main">
          <w:rFonts w:ascii="Calibri" w:cs="Calibri" w:eastAsia="Calibri" w:hAnsi="Calibri"/>
          <w:sz w:val="16"/>
          <w:szCs w:val="16"/>
          <w:color w:val="auto"/>
        </w:rPr>
        <w:t xml:space="preserve">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w:t>
      </w:r>
    </w:p>
    <w:p>
      <w:pPr>
        <w:spacing w:after="0" w:line="210"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72" w:lineRule="exact"/>
        <w:rPr>
          <w:sz w:val="20"/>
          <w:szCs w:val="20"/>
          <w:color w:val="auto"/>
        </w:rPr>
      </w:pPr>
    </w:p>
    <w:p>
      <w:pPr>
        <w:sectPr>
          <w:pgSz w:w="12240" w:h="15840" w:orient="portrait"/>
          <w:cols w:equalWidth="0" w:num="2">
            <w:col w:w="5940" w:space="420"/>
            <w:col w:w="3940"/>
          </w:cols>
          <w:pgMar w:left="940" w:top="706" w:right="1000" w:bottom="267" w:gutter="0" w:footer="0" w:header="0"/>
          <w:type w:val="continuous"/>
        </w:sect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en hangt af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1.4pt,1.5pt" o:allowincell="f" strokecolor="#000000" strokeweight="0.4799pt"/>
            </w:pict>
          </mc:Fallback>
        </mc:AlternateContent>
      </w:r>
    </w:p>
    <w:p>
      <w:pPr>
        <w:sectPr>
          <w:pgSz w:w="12240" w:h="15840" w:orient="portrait"/>
          <w:cols w:equalWidth="0" w:num="1">
            <w:col w:w="10300"/>
          </w:cols>
          <w:pgMar w:left="940" w:top="706" w:right="1000" w:bottom="267" w:gutter="0" w:footer="0" w:header="0"/>
          <w:type w:val="continuous"/>
        </w:sectPr>
      </w:pPr>
    </w:p>
    <w:bookmarkStart w:id="2" w:name="page3"/>
    <w:bookmarkEnd w:id="2"/>
    <w:p>
      <w:pPr xmlns:w="http://schemas.openxmlformats.org/wordprocessingml/2006/main">
        <w:ind w:left="220" w:right="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2171700</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71pt" to="568.4pt,17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6271260</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3.8pt" to="568.4pt,493.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7811770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5.1pt" to="568.4pt,615.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0016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0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0016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0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3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ectPr>
          <w:pgSz w:w="12240" w:h="15840" w:orient="portrait"/>
          <w:cols w:equalWidth="0" w:num="1">
            <w:col w:w="10520"/>
          </w:cols>
          <w:pgMar w:left="720" w:top="774" w:right="1000" w:bottom="293" w:gutter="0" w:footer="0" w:header="0"/>
        </w:sectPr>
      </w:pPr>
    </w:p>
    <w:p>
      <w:pPr>
        <w:spacing w:after="0" w:line="77"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 ?</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Als dat zo is, zal deze persoon u informatie verstrekken over deze kosten en hoe deze uw investering beïnvloeden.</w:t>
      </w:r>
      <w:r>
        <w:rPr xmlns:w="http://schemas.openxmlformats.org/wordprocessingml/2006/main">
          <w:rFonts w:ascii="Calibri" w:cs="Calibri" w:eastAsia="Calibri" w:hAnsi="Calibri"/>
          <w:sz w:val="22"/>
          <w:szCs w:val="22"/>
          <w:color w:val="auto"/>
        </w:rPr>
        <w:t xml:space="preserve"> De totale kosten voor opties voor schuldbewijzen zijn afhankelijk van meerdere factoren.</w:t>
      </w:r>
      <w:r>
        <w:rPr xmlns:w="http://schemas.openxmlformats.org/wordprocessingml/2006/main">
          <w:rFonts w:ascii="Calibri" w:cs="Calibri" w:eastAsia="Calibri" w:hAnsi="Calibri"/>
          <w:sz w:val="22"/>
          <w:szCs w:val="22"/>
          <w:color w:val="auto"/>
        </w:rPr>
        <w:t xml:space="preserve"> Een optiepremie is de prijs die de houder betaalt aan de schrijver.</w:t>
      </w:r>
      <w:r>
        <w:rPr xmlns:w="http://schemas.openxmlformats.org/wordprocessingml/2006/main">
          <w:rFonts w:ascii="Calibri" w:cs="Calibri" w:eastAsia="Calibri" w:hAnsi="Calibri"/>
          <w:sz w:val="22"/>
          <w:szCs w:val="22"/>
          <w:color w:val="auto"/>
        </w:rPr>
        <w:t xml:space="preserve"> Factoren die een significant effect hebben op de premie omvatten, maar zijn niet beperkt tot, de prijs/opbrengst van het onderliggende effect, de tijd tot het verstrijken van de optie en de uitoefenprijs.</w:t>
      </w:r>
      <w:r>
        <w:rPr xmlns:w="http://schemas.openxmlformats.org/wordprocessingml/2006/main">
          <w:rFonts w:ascii="Calibri" w:cs="Calibri" w:eastAsia="Calibri" w:hAnsi="Calibri"/>
          <w:sz w:val="22"/>
          <w:szCs w:val="22"/>
          <w:color w:val="auto"/>
        </w:rPr>
        <w:t xml:space="preserve"> Beleggingsopties omvatten extra kosten die fiscale overwegingen, transactiekosten en margevereisten omvatten die de winst of het verlies aanzienlijk kunnen beïnvloeden.</w:t>
      </w:r>
      <w:r>
        <w:rPr xmlns:w="http://schemas.openxmlformats.org/wordprocessingml/2006/main">
          <w:rFonts w:ascii="Calibri" w:cs="Calibri" w:eastAsia="Calibri" w:hAnsi="Calibri"/>
          <w:sz w:val="22"/>
          <w:szCs w:val="22"/>
          <w:color w:val="auto"/>
        </w:rPr>
        <w:t xml:space="preserve"> Transactiekosten bestaan voornamelijk uit commissies (die worden opgelegd bij de opening, afsluiting, uitoefening en cessie), maar kunnen ook marge- en rentekosten omvatten.</w:t>
      </w:r>
      <w:r>
        <w:rPr xmlns:w="http://schemas.openxmlformats.org/wordprocessingml/2006/main">
          <w:rFonts w:ascii="Calibri" w:cs="Calibri" w:eastAsia="Calibri" w:hAnsi="Calibri"/>
          <w:sz w:val="22"/>
          <w:szCs w:val="22"/>
          <w:color w:val="auto"/>
        </w:rPr>
        <w:t xml:space="preserve"> Marge: de activa die door een schrijver bij zijn makelaarskantoor moeten worden gedeponeerd als onderpand voor de verplichting, naargelang het geval, om de onderliggende rente te kopen of te verkopen of het bedrag van de afwikkeling in contanten te betalen.</w:t>
      </w:r>
      <w:r>
        <w:rPr xmlns:w="http://schemas.openxmlformats.org/wordprocessingml/2006/main">
          <w:rFonts w:ascii="Calibri" w:cs="Calibri" w:eastAsia="Calibri" w:hAnsi="Calibri"/>
          <w:sz w:val="22"/>
          <w:szCs w:val="22"/>
          <w:color w:val="auto"/>
        </w:rPr>
        <w:t xml:space="preserve"> Als een optie wordt uitgeoefend en toegewezen, wordt een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20" w:type="dxa"/>
            <w:vAlign w:val="bottom"/>
            <w:tcBorders>
              <w:top w:val="single" w:sz="8" w:color="auto"/>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r>
      <w:tr>
        <w:trPr>
          <w:trHeight w:val="247"/>
        </w:trPr>
        <w:tc>
          <w:tcPr>
            <w:tcW w:w="1560" w:type="dxa"/>
            <w:vAlign w:val="bottom"/>
            <w:tcBorders>
              <w:bottom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20" w:type="dxa"/>
            <w:vAlign w:val="bottom"/>
            <w:tcBorders>
              <w:bottom w:val="single" w:sz="8" w:color="auto"/>
            </w:tcBorders>
          </w:tcPr>
          <w:p>
            <w:pPr>
              <w:spacing w:after="0"/>
              <w:rPr>
                <w:sz w:val="21"/>
                <w:szCs w:val="21"/>
                <w:color w:val="auto"/>
              </w:rPr>
            </w:pPr>
          </w:p>
        </w:tc>
      </w:tr>
      <w:tr>
        <w:trPr>
          <w:trHeight w:val="240"/>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52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52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52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52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52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2"/>
        </w:trPr>
        <w:tc>
          <w:tcPr>
            <w:tcW w:w="1560" w:type="dxa"/>
            <w:vAlign w:val="bottom"/>
            <w:tcBorders>
              <w:left w:val="single" w:sz="8" w:color="auto"/>
              <w:right w:val="single" w:sz="8" w:color="auto"/>
            </w:tcBorders>
          </w:tcPr>
          <w:p>
            <w:pPr xmlns:w="http://schemas.openxmlformats.org/wordprocessingml/2006/main">
              <w:ind w:left="12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2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2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2"/>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20" w:type="dxa"/>
            <w:vAlign w:val="bottom"/>
            <w:tcBorders>
              <w:right w:val="single" w:sz="8" w:color="auto"/>
            </w:tcBorders>
            <w:shd w:val="clear" w:color="auto" w:fill="DADADA"/>
          </w:tcPr>
          <w:p>
            <w:pPr xmlns:w="http://schemas.openxmlformats.org/wordprocessingml/2006/main">
              <w:ind w:left="8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r>
      <w:tr>
        <w:trPr>
          <w:trHeight w:val="236"/>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8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2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2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2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520" w:type="dxa"/>
            <w:vAlign w:val="bottom"/>
            <w:tcBorders>
              <w:right w:val="single" w:sz="8" w:color="auto"/>
            </w:tcBorders>
          </w:tcPr>
          <w:p>
            <w:pPr>
              <w:spacing w:after="0"/>
              <w:rPr>
                <w:sz w:val="19"/>
                <w:szCs w:val="19"/>
                <w:color w:val="auto"/>
              </w:rPr>
            </w:pPr>
          </w:p>
        </w:tc>
      </w:tr>
      <w:tr>
        <w:trPr>
          <w:trHeight w:val="206"/>
        </w:trPr>
        <w:tc>
          <w:tcPr>
            <w:tcW w:w="1560" w:type="dxa"/>
            <w:vAlign w:val="bottom"/>
            <w:tcBorders>
              <w:left w:val="single" w:sz="8" w:color="auto"/>
              <w:right w:val="single" w:sz="8" w:color="auto"/>
            </w:tcBorders>
          </w:tcPr>
          <w:p>
            <w:pPr xmlns:w="http://schemas.openxmlformats.org/wordprocessingml/2006/main">
              <w:ind w:left="12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honorarium</w:t>
            </w:r>
          </w:p>
        </w:tc>
        <w:tc>
          <w:tcPr>
            <w:tcW w:w="1520" w:type="dxa"/>
            <w:vAlign w:val="bottom"/>
            <w:tcBorders>
              <w:right w:val="single" w:sz="8" w:color="auto"/>
            </w:tcBorders>
          </w:tcPr>
          <w:p>
            <w:pPr xmlns:w="http://schemas.openxmlformats.org/wordprocessingml/2006/main">
              <w:ind w:left="8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3"/>
          </w:tcPr>
          <w:p>
            <w:pPr>
              <w:spacing w:after="0" w:line="20" w:lineRule="exact"/>
              <w:rPr>
                <w:sz w:val="1"/>
                <w:szCs w:val="1"/>
                <w:color w:val="auto"/>
              </w:rPr>
            </w:pPr>
          </w:p>
        </w:tc>
        <w:tc>
          <w:tcPr>
            <w:tcW w:w="1520" w:type="dxa"/>
            <w:vAlign w:val="bottom"/>
            <w:tcBorders>
              <w:bottom w:val="single" w:sz="8" w:color="auto"/>
              <w:right w:val="single" w:sz="8" w:color="auto"/>
            </w:tcBorders>
          </w:tcPr>
          <w:p>
            <w:pPr>
              <w:spacing w:after="0" w:line="20" w:lineRule="exact"/>
              <w:rPr>
                <w:sz w:val="1"/>
                <w:szCs w:val="1"/>
                <w:color w:val="auto"/>
              </w:rPr>
            </w:pPr>
          </w:p>
        </w:tc>
      </w:tr>
      <w:tr>
        <w:trPr>
          <w:trHeight w:val="193"/>
        </w:trPr>
        <w:tc>
          <w:tcPr>
            <w:tcW w:w="1560" w:type="dxa"/>
            <w:vAlign w:val="bottom"/>
            <w:tcBorders>
              <w:left w:val="single" w:sz="8" w:color="auto"/>
              <w:right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080" w:type="dxa"/>
            <w:vAlign w:val="bottom"/>
            <w:tcBorders>
              <w:right w:val="single" w:sz="8" w:color="auto"/>
            </w:tcBorders>
            <w:gridSpan w:val="4"/>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520" w:type="dxa"/>
            <w:vAlign w:val="bottom"/>
            <w:tcBorders>
              <w:right w:val="single" w:sz="8" w:color="auto"/>
            </w:tcBorders>
          </w:tcPr>
          <w:p>
            <w:pPr>
              <w:spacing w:after="0"/>
              <w:rPr>
                <w:sz w:val="16"/>
                <w:szCs w:val="16"/>
                <w:color w:val="auto"/>
              </w:rPr>
            </w:pPr>
          </w:p>
        </w:tc>
      </w:tr>
      <w:tr>
        <w:trPr>
          <w:trHeight w:val="221"/>
        </w:trPr>
        <w:tc>
          <w:tcPr>
            <w:tcW w:w="1560" w:type="dxa"/>
            <w:vAlign w:val="bottom"/>
            <w:tcBorders>
              <w:left w:val="single" w:sz="8" w:color="auto"/>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520" w:type="dxa"/>
            <w:vAlign w:val="bottom"/>
            <w:tcBorders>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6"/>
        </w:trPr>
        <w:tc>
          <w:tcPr>
            <w:tcW w:w="1560" w:type="dxa"/>
            <w:vAlign w:val="bottom"/>
            <w:tcBorders>
              <w:left w:val="single" w:sz="8" w:color="auto"/>
              <w:right w:val="single" w:sz="8" w:color="auto"/>
            </w:tcBorders>
          </w:tcPr>
          <w:p>
            <w:pPr xmlns:w="http://schemas.openxmlformats.org/wordprocessingml/2006/main">
              <w:ind w:left="12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520" w:type="dxa"/>
            <w:vAlign w:val="bottom"/>
            <w:tcBorders>
              <w:right w:val="single" w:sz="8" w:color="auto"/>
            </w:tcBorders>
          </w:tcPr>
          <w:p>
            <w:pPr xmlns:w="http://schemas.openxmlformats.org/wordprocessingml/2006/main">
              <w:ind w:left="80"/>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20" w:type="dxa"/>
            <w:vAlign w:val="bottom"/>
            <w:tcBorders>
              <w:bottom w:val="single" w:sz="8" w:color="auto"/>
              <w:right w:val="single" w:sz="8" w:color="auto"/>
            </w:tcBorders>
          </w:tcPr>
          <w:p>
            <w:pPr>
              <w:spacing w:after="0" w:line="20" w:lineRule="exact"/>
              <w:rPr>
                <w:sz w:val="1"/>
                <w:szCs w:val="1"/>
                <w:color w:val="auto"/>
              </w:rPr>
            </w:pPr>
          </w:p>
        </w:tc>
      </w:tr>
      <w:tr>
        <w:trPr>
          <w:trHeight w:val="278"/>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520" w:type="dxa"/>
            <w:vAlign w:val="bottom"/>
            <w:tcBorders>
              <w:bottom w:val="single" w:sz="8" w:color="auto"/>
              <w:right w:val="single" w:sz="8" w:color="auto"/>
            </w:tcBorders>
            <w:shd w:val="clear" w:color="auto" w:fill="DADADA"/>
          </w:tcPr>
          <w:p>
            <w:pPr>
              <w:spacing w:after="0"/>
              <w:rPr>
                <w:sz w:val="24"/>
                <w:szCs w:val="24"/>
                <w:color w:val="auto"/>
              </w:rPr>
            </w:pPr>
          </w:p>
        </w:tc>
      </w:tr>
      <w:tr>
        <w:trPr>
          <w:trHeight w:val="287"/>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Borders>
              <w:bottom w:val="single" w:sz="8" w:color="auto"/>
            </w:tcBorders>
          </w:tcPr>
          <w:p>
            <w:pPr>
              <w:spacing w:after="0"/>
              <w:rPr>
                <w:sz w:val="24"/>
                <w:szCs w:val="24"/>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52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r>
    </w:tbl>
    <w:p>
      <w:pPr>
        <w:spacing w:after="0" w:line="101" w:lineRule="exact"/>
        <w:rPr>
          <w:sz w:val="20"/>
          <w:szCs w:val="20"/>
          <w:color w:val="auto"/>
        </w:rPr>
      </w:pPr>
    </w:p>
    <w:p>
      <w:pPr>
        <w:sectPr>
          <w:pgSz w:w="12240" w:h="15840" w:orient="portrait"/>
          <w:cols w:equalWidth="0" w:num="2">
            <w:col w:w="5100" w:space="200"/>
            <w:col w:w="5220"/>
          </w:cols>
          <w:pgMar w:left="720" w:top="774" w:right="1000" w:bottom="293" w:gutter="0" w:footer="0" w:header="0"/>
          <w:type w:val="continuous"/>
        </w:sectPr>
      </w:pPr>
    </w:p>
    <w:p>
      <w:pPr xmlns:w="http://schemas.openxmlformats.org/wordprocessingml/2006/main">
        <w:jc w:val="both"/>
        <w:ind w:left="220" w:right="1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 schrijver kan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p>
    <w:p>
      <w:pPr>
        <w:spacing w:after="0" w:line="67" w:lineRule="exact"/>
        <w:rPr>
          <w:sz w:val="20"/>
          <w:szCs w:val="20"/>
          <w:color w:val="auto"/>
        </w:rPr>
      </w:pPr>
    </w:p>
    <w:p>
      <w:pPr xmlns:w="http://schemas.openxmlformats.org/wordprocessingml/2006/main">
        <w:ind w:left="220" w:right="120"/>
        <w:spacing w:after="0" w:line="220" w:lineRule="auto"/>
        <w:rPr>
          <w:sz w:val="20"/>
          <w:szCs w:val="20"/>
          <w:color w:val="auto"/>
        </w:rPr>
      </w:pPr>
      <w:r>
        <w:rPr xmlns:w="http://schemas.openxmlformats.org/wordprocessingml/2006/main">
          <w:rFonts w:ascii="Calibri" w:cs="Calibri" w:eastAsia="Calibri" w:hAnsi="Calibri"/>
          <w:sz w:val="22"/>
          <w:szCs w:val="22"/>
          <w:color w:val="auto"/>
        </w:rPr>
        <w:t xml:space="preserve">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p>
      <w:pPr>
        <w:spacing w:after="0" w:line="1"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2"/>
          <w:szCs w:val="22"/>
          <w:color w:val="auto"/>
        </w:rPr>
        <w:t xml:space="preserve">VS</w:t>
      </w:r>
      <w:r>
        <w:rPr xmlns:w="http://schemas.openxmlformats.org/wordprocessingml/2006/main">
          <w:rFonts w:ascii="Calibri" w:cs="Calibri" w:eastAsia="Calibri" w:hAnsi="Calibri"/>
          <w:sz w:val="22"/>
          <w:szCs w:val="22"/>
          <w:color w:val="auto"/>
        </w:rPr>
        <w:t xml:space="preserve"> Securities and Exchange Commission</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Office of Investor Education and Advocacy</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188595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85pt" to="532.4pt,14.85pt" o:allowincell="f" strokecolor="#000000" strokeweight="0.4799pt"/>
            </w:pict>
          </mc:Fallback>
        </mc:AlternateContent>
      </w:r>
    </w:p>
    <w:p>
      <w:pPr>
        <w:spacing w:after="0" w:line="26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520"/>
      </w:cols>
      <w:pgMar w:left="720" w:top="774" w:right="1000" w:bottom="29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08860F1"/>
    <w:multiLevelType w:val="hybridMultilevel"/>
    <w:lvl w:ilvl="0">
      <w:lvlJc w:val="left"/>
      <w:lvlText w:val="·"/>
      <w:numFmt w:val="bullet"/>
      <w:start w:val="1"/>
    </w:lvl>
  </w:abstractNum>
  <w:abstractNum w:abstractNumId="1">
    <w:nsid w:val="47175FEA"/>
    <w:multiLevelType w:val="hybridMultilevel"/>
    <w:lvl w:ilvl="0">
      <w:lvlJc w:val="left"/>
      <w:lvlText w:val="·"/>
      <w:numFmt w:val="bullet"/>
      <w:start w:val="1"/>
    </w:lvl>
  </w:abstractNum>
  <w:abstractNum w:abstractNumId="2">
    <w:nsid w:val="6C370970"/>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2024-06-24T11:15:46Z</dcterms:created>
  <dcterms:modified xsi:type="dcterms:W3CDTF">2024-06-24T11:15:46Z</dcterms:modified>
</cp:coreProperties>
</file>