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7773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773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33.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6827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827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26.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7894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3.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7894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83.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7894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83.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7894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83.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7894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83.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74776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7406640</wp:posOffset>
                </wp:positionH>
                <wp:positionV relativeFrom="page">
                  <wp:posOffset>457200</wp:posOffset>
                </wp:positionV>
                <wp:extent cx="0" cy="874776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3.2pt,36pt" to="583.2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Lange termijncontracten voor grondstoffen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7767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6720" cy="868680"/>
                        </a:xfrm>
                        <a:prstGeom prst="rect">
                          <a:avLst/>
                        </a:prstGeom>
                        <a:solidFill>
                          <a:srgbClr val="9CC2E5"/>
                        </a:solidFill>
                      </wps:spPr>
                      <wps:bodyPr/>
                    </wps:wsp>
                  </a:graphicData>
                </a:graphic>
              </wp:anchor>
            </w:drawing>
          </mc:Choice>
          <mc:Fallback>
            <w:pict>
              <v:rect id="Shape 10" o:spid="_x0000_s1035" style="position:absolute;margin-left:-4.6499pt;margin-top:2pt;width:533.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10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grondstoffenfutures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futures op grondstoffen.</w:t>
      </w:r>
      <w:r>
        <w:rPr xmlns:w="http://schemas.openxmlformats.org/wordprocessingml/2006/main">
          <w:rFonts w:ascii="Calibri" w:cs="Calibri" w:eastAsia="Calibri" w:hAnsi="Calibri"/>
          <w:sz w:val="22"/>
          <w:szCs w:val="22"/>
          <w:color w:val="auto"/>
        </w:rPr>
        <w:t xml:space="preserve"> Grondstoffenfutures worden genoteerd en verhandeld op Amerikaanse futuresbeurzen, die aangewezen contractmarkten zijn die worden gereguleerd door de Amerikaanse Commodity Futures Trading Commission ("CFTC"), en worden gecleard en afgewikkeld door OCC, een CFTC-geregistreerde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voor de Amerikaanse futures-beurzen,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Laatst bijgewerkt op 28 december 2022 en 20 april 2023.</w:t>
      </w:r>
    </w:p>
    <w:p>
      <w:pPr>
        <w:spacing w:after="0" w:line="83" w:lineRule="exact"/>
        <w:rPr>
          <w:sz w:val="24"/>
          <w:szCs w:val="24"/>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futures op grondstoffen verhandelen totdat zij dit document en eventuele aanvullende toelichtingen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Uniform Futures and Options on Futures Risk Disclosures</w:t>
      </w:r>
      <w:r>
        <w:rPr xmlns:w="http://schemas.openxmlformats.org/wordprocessingml/2006/main">
          <w:rFonts w:ascii="Calibri" w:cs="Calibri" w:eastAsia="Calibri" w:hAnsi="Calibri"/>
          <w:sz w:val="22"/>
          <w:szCs w:val="22"/>
          <w:color w:val="auto"/>
        </w:rPr>
        <w:t xml:space="preserve"> van de Futures Industry Association kan omvatten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https://lc.fia.org/uniform-futures-and-options-futures-risk-disclosures</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Informatieverschaffing hierin moet worden geïnterpreteerd op een manier die consistent is met deze openbaarmakingen.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776720" cy="528383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76720" cy="5283835"/>
                        </a:xfrm>
                        <a:prstGeom prst="rect">
                          <a:avLst/>
                        </a:prstGeom>
                        <a:solidFill>
                          <a:srgbClr val="BDD6EE"/>
                        </a:solidFill>
                      </wps:spPr>
                      <wps:bodyPr/>
                    </wps:wsp>
                  </a:graphicData>
                </a:graphic>
              </wp:anchor>
            </w:drawing>
          </mc:Choice>
          <mc:Fallback>
            <w:pict>
              <v:rect id="Shape 11" o:spid="_x0000_s1036" style="position:absolute;margin-left:-4.6499pt;margin-top:1.65pt;width:533.6pt;height:416.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commodity futures contract is een overeenkomst tussen twee partijen om een vooraf bepaalde hoeveelheid van een grondstof te kopen of te verkopen tegen een bepaalde prijs op een toekomstige datum.</w:t>
      </w:r>
      <w:r>
        <w:rPr xmlns:w="http://schemas.openxmlformats.org/wordprocessingml/2006/main">
          <w:rFonts w:ascii="Calibri" w:cs="Calibri" w:eastAsia="Calibri" w:hAnsi="Calibri"/>
          <w:sz w:val="22"/>
          <w:szCs w:val="22"/>
          <w:color w:val="auto"/>
        </w:rPr>
        <w:t xml:space="preserve"> Een persoon die een termijncontract voor grondstoffen koopt, gaat een contract aan om een onderliggende grondstof te kopen en wordt gezegd dat het "lang" is in het contract.</w:t>
      </w:r>
      <w:r>
        <w:rPr xmlns:w="http://schemas.openxmlformats.org/wordprocessingml/2006/main">
          <w:rFonts w:ascii="Calibri" w:cs="Calibri" w:eastAsia="Calibri" w:hAnsi="Calibri"/>
          <w:sz w:val="22"/>
          <w:szCs w:val="22"/>
          <w:color w:val="auto"/>
        </w:rPr>
        <w:t xml:space="preserve"> De blootstelling aan de onderliggende grondstof is dus indirect, omdat de waarde van de toekomst wordt afgeleid van de waarde van de onderliggende grondstof.</w:t>
      </w:r>
      <w:r>
        <w:rPr xmlns:w="http://schemas.openxmlformats.org/wordprocessingml/2006/main">
          <w:rFonts w:ascii="Calibri" w:cs="Calibri" w:eastAsia="Calibri" w:hAnsi="Calibri"/>
          <w:sz w:val="22"/>
          <w:szCs w:val="22"/>
          <w:color w:val="auto"/>
        </w:rPr>
        <w:t xml:space="preserve"> De vervaldata voor futures op grondstoffen variëren.</w:t>
      </w:r>
      <w:r>
        <w:rPr xmlns:w="http://schemas.openxmlformats.org/wordprocessingml/2006/main">
          <w:rFonts w:ascii="Calibri" w:cs="Calibri" w:eastAsia="Calibri" w:hAnsi="Calibri"/>
          <w:sz w:val="22"/>
          <w:szCs w:val="22"/>
          <w:color w:val="auto"/>
        </w:rPr>
        <w:t xml:space="preserve"> OCC mag de toekomst niet eenzijdig beëindigen.</w:t>
      </w:r>
      <w:r>
        <w:rPr xmlns:w="http://schemas.openxmlformats.org/wordprocessingml/2006/main">
          <w:rFonts w:ascii="Calibri" w:cs="Calibri" w:eastAsia="Calibri" w:hAnsi="Calibri"/>
          <w:sz w:val="22"/>
          <w:szCs w:val="22"/>
          <w:color w:val="auto"/>
        </w:rPr>
        <w:t xml:space="preserve"> In bepaalde buitengewone omstandigheden kan de Amerikaanse futuresbeurs waarop uw transactie wordt uitgevoerd, de voorwaarden van het futurescontract wijzigen of het contract beëindigen.</w:t>
      </w:r>
      <w:r>
        <w:rPr xmlns:w="http://schemas.openxmlformats.org/wordprocessingml/2006/main">
          <w:rFonts w:ascii="Calibri" w:cs="Calibri" w:eastAsia="Calibri" w:hAnsi="Calibri"/>
          <w:sz w:val="22"/>
          <w:szCs w:val="22"/>
          <w:color w:val="auto"/>
        </w:rPr>
        <w:t xml:space="preserve"> Een gebeurtenis met betrekking tot de onderliggende grondstof kan ook resulteren in een wijziging van de voorwaarden van het futurescontract overeenkomstig de regels van OCC, en de methodologie kan verschillen van elke methodologie die op Europese markten wordt gebruikt.</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Een long commodity futures contract is een overeenkomst om een vooraf bepaalde hoeveelheid van een grondstof te kopen tegen een vooraf bepaalde prijs op een bepaalde toekomstige datum.</w:t>
      </w:r>
      <w:r>
        <w:rPr xmlns:w="http://schemas.openxmlformats.org/wordprocessingml/2006/main">
          <w:rFonts w:ascii="Calibri" w:cs="Calibri" w:eastAsia="Calibri" w:hAnsi="Calibri"/>
          <w:sz w:val="22"/>
          <w:szCs w:val="22"/>
          <w:color w:val="auto"/>
        </w:rPr>
        <w:t xml:space="preserve"> Een koper koopt over het algemeen een lange termijncontract voor grondstoffen met de verwachting dat de prijs van de onderliggende grondstof zal stijgen tegen de vervaldatum van het contract.</w:t>
      </w:r>
      <w:r>
        <w:rPr xmlns:w="http://schemas.openxmlformats.org/wordprocessingml/2006/main">
          <w:rFonts w:ascii="Calibri" w:cs="Calibri" w:eastAsia="Calibri" w:hAnsi="Calibri"/>
          <w:sz w:val="22"/>
          <w:szCs w:val="22"/>
          <w:color w:val="auto"/>
        </w:rPr>
        <w:t xml:space="preserve"> De koper realiseert een brutowinst als de waarde van de onderliggende grondstof is gestegen door de sluiting van de toekomst en zal een brutoverlies realiseren als deze is gedaald.</w:t>
      </w:r>
      <w:r>
        <w:rPr xmlns:w="http://schemas.openxmlformats.org/wordprocessingml/2006/main">
          <w:rFonts w:ascii="Calibri" w:cs="Calibri" w:eastAsia="Calibri" w:hAnsi="Calibri"/>
          <w:sz w:val="22"/>
          <w:szCs w:val="22"/>
          <w:color w:val="auto"/>
        </w:rPr>
        <w:t xml:space="preserve"> Er is geen aanbevolen bewaarperiode voor termijncontracten met betrekking tot grondstoffen.</w:t>
      </w:r>
      <w:r>
        <w:rPr xmlns:w="http://schemas.openxmlformats.org/wordprocessingml/2006/main">
          <w:rFonts w:ascii="Calibri" w:cs="Calibri" w:eastAsia="Calibri" w:hAnsi="Calibri"/>
          <w:sz w:val="22"/>
          <w:szCs w:val="22"/>
          <w:color w:val="auto"/>
        </w:rPr>
        <w:t xml:space="preserve"> Kopers en verkopers kunnen winst of verlies ervaren op elk moment tot en met de vervaldatum van de toekomst.</w:t>
      </w:r>
      <w:r>
        <w:rPr xmlns:w="http://schemas.openxmlformats.org/wordprocessingml/2006/main">
          <w:rFonts w:ascii="Calibri" w:cs="Calibri" w:eastAsia="Calibri" w:hAnsi="Calibri"/>
          <w:sz w:val="22"/>
          <w:szCs w:val="22"/>
          <w:color w:val="auto"/>
        </w:rPr>
        <w:t xml:space="preserve"> Terwijl een grondstoffenfuture een vooraf bepaalde vervaldatum heeft, kan een open positie worden afgesloten door het aangaan van een compenserende transactie voorafgaand aan de looptijd van het contract.</w:t>
      </w:r>
      <w:r>
        <w:rPr xmlns:w="http://schemas.openxmlformats.org/wordprocessingml/2006/main">
          <w:rFonts w:ascii="Calibri" w:cs="Calibri" w:eastAsia="Calibri" w:hAnsi="Calibri"/>
          <w:sz w:val="22"/>
          <w:szCs w:val="22"/>
          <w:color w:val="auto"/>
        </w:rPr>
        <w:t xml:space="preserve"> Grondstoffenfuturescontracten die niet vóór het verstrijken van de looptijd worden geliquideerd, moeten worden afgewikkeld in overeenstemming met de voorwaarden van het contract, die afwikkeling in contanten kunnen vereisen.</w:t>
      </w:r>
      <w:r>
        <w:rPr xmlns:w="http://schemas.openxmlformats.org/wordprocessingml/2006/main">
          <w:rFonts w:ascii="Calibri" w:cs="Calibri" w:eastAsia="Calibri" w:hAnsi="Calibri"/>
          <w:sz w:val="22"/>
          <w:szCs w:val="22"/>
          <w:color w:val="auto"/>
        </w:rPr>
        <w:t xml:space="preserve"> Voor futures op grondstoffen die via afwikkeling in contanten worden afgewikkeld, worden alle posities in het futurescontract op grondstoffen die aan het einde van de laatste handelsdag open zijn, afgewikkeld door middel van een laatste contante betaling op basis van een definitieve afwikkelingsprijs voor de onderliggende grondstof.</w:t>
      </w:r>
      <w:r>
        <w:rPr xmlns:w="http://schemas.openxmlformats.org/wordprocessingml/2006/main">
          <w:rFonts w:ascii="Calibri" w:cs="Calibri" w:eastAsia="Calibri" w:hAnsi="Calibri"/>
          <w:sz w:val="22"/>
          <w:szCs w:val="22"/>
          <w:color w:val="auto"/>
        </w:rPr>
        <w:t xml:space="preserve"> Factoren die de toekomstige waarde van een grondstof beïnvloeden, zijn onder meer de waarde van de onderliggende waarde en de gevoeligheid voor prijsschommelingen (volatiliteit).</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46" w:lineRule="exact"/>
        <w:rPr>
          <w:sz w:val="24"/>
          <w:szCs w:val="24"/>
          <w:color w:val="auto"/>
        </w:rPr>
      </w:pPr>
    </w:p>
    <w:p>
      <w:pPr xmlns:w="http://schemas.openxmlformats.org/wordprocessingml/2006/main">
        <w:ind w:right="46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-strategie te vervullen.</w:t>
      </w:r>
      <w:r>
        <w:rPr xmlns:w="http://schemas.openxmlformats.org/wordprocessingml/2006/main">
          <w:rFonts w:ascii="Calibri" w:cs="Calibri" w:eastAsia="Calibri" w:hAnsi="Calibri"/>
          <w:sz w:val="22"/>
          <w:szCs w:val="22"/>
          <w:color w:val="auto"/>
        </w:rPr>
        <w:t xml:space="preserve"> Grondstoffenfutures zijn niet geschikt voor alle beleggers en zijn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17780</wp:posOffset>
                </wp:positionV>
                <wp:extent cx="67887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87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pt" to="529.4pt,1.4pt" o:allowincell="f" strokecolor="#000000" strokeweight="0.48pt"/>
            </w:pict>
          </mc:Fallback>
        </mc:AlternateContent>
      </w:r>
    </w:p>
    <w:p>
      <w:pPr>
        <w:sectPr>
          <w:pgSz w:w="12240" w:h="15840" w:orient="portrait"/>
          <w:cols w:equalWidth="0" w:num="1">
            <w:col w:w="10480"/>
          </w:cols>
          <w:pgMar w:left="1080" w:top="699" w:right="680" w:bottom="812"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709930</wp:posOffset>
                </wp:positionH>
                <wp:positionV relativeFrom="page">
                  <wp:posOffset>6688455</wp:posOffset>
                </wp:positionV>
                <wp:extent cx="669925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92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9pt,526.65pt" to="583.4pt,526.6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716280</wp:posOffset>
                </wp:positionH>
                <wp:positionV relativeFrom="page">
                  <wp:posOffset>6682740</wp:posOffset>
                </wp:positionV>
                <wp:extent cx="0" cy="154940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4940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4pt,526.2pt" to="56.4pt,648.2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3863340</wp:posOffset>
                </wp:positionH>
                <wp:positionV relativeFrom="page">
                  <wp:posOffset>6682740</wp:posOffset>
                </wp:positionV>
                <wp:extent cx="0" cy="154940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494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4.2pt,526.2pt" to="304.2pt,648.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5628005</wp:posOffset>
                </wp:positionH>
                <wp:positionV relativeFrom="page">
                  <wp:posOffset>7560310</wp:posOffset>
                </wp:positionV>
                <wp:extent cx="178117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178117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3.15pt,595.3pt" to="583.4pt,595.3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5633720</wp:posOffset>
                </wp:positionH>
                <wp:positionV relativeFrom="page">
                  <wp:posOffset>6682740</wp:posOffset>
                </wp:positionV>
                <wp:extent cx="0" cy="154940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494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3.6pt,526.2pt" to="443.6pt,648.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709930</wp:posOffset>
                </wp:positionH>
                <wp:positionV relativeFrom="page">
                  <wp:posOffset>8226425</wp:posOffset>
                </wp:positionV>
                <wp:extent cx="669925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92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9pt,647.75pt" to="583.4pt,647.7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78942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3.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97445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744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42.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7406640</wp:posOffset>
                </wp:positionH>
                <wp:positionV relativeFrom="page">
                  <wp:posOffset>457200</wp:posOffset>
                </wp:positionV>
                <wp:extent cx="0" cy="897445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744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3.2pt,36pt" to="583.2pt,742.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1200785</wp:posOffset>
            </wp:positionH>
            <wp:positionV relativeFrom="paragraph">
              <wp:posOffset>15875</wp:posOffset>
            </wp:positionV>
            <wp:extent cx="4895215" cy="191389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drawing>
          <wp:anchor simplePos="0" relativeHeight="251657728" behindDoc="1" locked="0" layoutInCell="0" allowOverlap="1">
            <wp:simplePos x="0" y="0"/>
            <wp:positionH relativeFrom="column">
              <wp:posOffset>1200785</wp:posOffset>
            </wp:positionH>
            <wp:positionV relativeFrom="paragraph">
              <wp:posOffset>15875</wp:posOffset>
            </wp:positionV>
            <wp:extent cx="4895215" cy="1913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521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xmlns:w="http://schemas.openxmlformats.org/wordprocessingml/2006/main">
        <w:ind w:right="18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of meer kunt verliezen.</w:t>
      </w:r>
    </w:p>
    <w:p>
      <w:pPr>
        <w:spacing w:after="0" w:line="200" w:lineRule="exact"/>
        <w:rPr>
          <w:sz w:val="20"/>
          <w:szCs w:val="20"/>
          <w:color w:val="auto"/>
        </w:rPr>
      </w:pPr>
    </w:p>
    <w:p>
      <w:pPr>
        <w:spacing w:after="0" w:line="380" w:lineRule="exact"/>
        <w:rPr>
          <w:sz w:val="20"/>
          <w:szCs w:val="20"/>
          <w:color w:val="auto"/>
        </w:rPr>
      </w:pPr>
    </w:p>
    <w:p>
      <w:pPr xmlns:w="http://schemas.openxmlformats.org/wordprocessingml/2006/main">
        <w:ind w:right="1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van een lang termijncontract voor grondstoffen is afhankelijk van de voorwaarden ervan, maar kan de volgende overwegingen omvatten:</w:t>
      </w:r>
    </w:p>
    <w:p>
      <w:pPr>
        <w:spacing w:after="0" w:line="80" w:lineRule="exact"/>
        <w:rPr>
          <w:sz w:val="20"/>
          <w:szCs w:val="20"/>
          <w:color w:val="auto"/>
        </w:rPr>
      </w:pPr>
    </w:p>
    <w:p>
      <w:pPr xmlns:w="http://schemas.openxmlformats.org/wordprocessingml/2006/main">
        <w:ind w:left="240" w:right="16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verhandelen van termijncontracten met betrekking tot grondstoffen brengt risico's met zich mee en kan resulteren in potentieel onbeperkte verliezen die groter zijn dan het bedrag dat als initiële marge wordt gedeponeerd.</w:t>
      </w:r>
    </w:p>
    <w:p>
      <w:pPr>
        <w:spacing w:after="0" w:line="78" w:lineRule="exact"/>
        <w:rPr>
          <w:rFonts w:ascii="Symbol" w:cs="Symbol" w:eastAsia="Symbol" w:hAnsi="Symbol"/>
          <w:sz w:val="22"/>
          <w:szCs w:val="22"/>
          <w:color w:val="auto"/>
        </w:rPr>
      </w:pPr>
    </w:p>
    <w:p>
      <w:pPr xmlns:w="http://schemas.openxmlformats.org/wordprocessingml/2006/main">
        <w:ind w:left="240" w:right="6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Commodity futures zijn leveraged producten.</w:t>
      </w:r>
      <w:r>
        <w:rPr xmlns:w="http://schemas.openxmlformats.org/wordprocessingml/2006/main">
          <w:rFonts w:ascii="Calibri" w:cs="Calibri" w:eastAsia="Calibri" w:hAnsi="Calibri"/>
          <w:sz w:val="22"/>
          <w:szCs w:val="22"/>
          <w:color w:val="auto"/>
        </w:rPr>
        <w:t xml:space="preserve"> Kleine veranderingen in de prijs van de toekomst kunnen leiden tot grote winsten of verliezen.</w:t>
      </w:r>
      <w:r>
        <w:rPr xmlns:w="http://schemas.openxmlformats.org/wordprocessingml/2006/main">
          <w:rFonts w:ascii="Calibri" w:cs="Calibri" w:eastAsia="Calibri" w:hAnsi="Calibri"/>
          <w:sz w:val="22"/>
          <w:szCs w:val="22"/>
          <w:color w:val="auto"/>
        </w:rPr>
        <w:t xml:space="preserve"> Als bewegingen in de markten voor futures of de onderliggende grondstof de waarde van uw posities verlagen, moet u mogelijk onmiddellijk extra marge storten en kan uw positie met verlies gedwongen worden geliquideerd.</w:t>
      </w:r>
    </w:p>
    <w:p>
      <w:pPr>
        <w:spacing w:after="0" w:line="79" w:lineRule="exact"/>
        <w:rPr>
          <w:rFonts w:ascii="Symbol" w:cs="Symbol" w:eastAsia="Symbol" w:hAnsi="Symbol"/>
          <w:sz w:val="22"/>
          <w:szCs w:val="22"/>
          <w:color w:val="auto"/>
        </w:rPr>
      </w:pPr>
    </w:p>
    <w:p>
      <w:pPr xmlns:w="http://schemas.openxmlformats.org/wordprocessingml/2006/main">
        <w:ind w:left="240" w:right="18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handel op een Amerikaanse futuresbeurs onbeschikbaar wordt, kunnen beleggers mogelijk niet in staat zijn om een termijnpositie in grondstoffen tijdig te sluiten.</w:t>
      </w:r>
      <w:r>
        <w:rPr xmlns:w="http://schemas.openxmlformats.org/wordprocessingml/2006/main">
          <w:rFonts w:ascii="Calibri" w:cs="Calibri" w:eastAsia="Calibri" w:hAnsi="Calibri"/>
          <w:sz w:val="22"/>
          <w:szCs w:val="22"/>
          <w:color w:val="auto"/>
        </w:rPr>
        <w:t xml:space="preserve"> Er kunnen momenten zijn waarop futuresprijzen geen gebruikelijke of verwachte relaties onderhouden met de prijzen van onderliggende of gerelateerde belangen.</w:t>
      </w:r>
    </w:p>
    <w:p>
      <w:pPr>
        <w:spacing w:after="0" w:line="1"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74" w:lineRule="exact"/>
        <w:rPr>
          <w:rFonts w:ascii="Symbol" w:cs="Symbol" w:eastAsia="Symbol" w:hAnsi="Symbol"/>
          <w:sz w:val="22"/>
          <w:szCs w:val="22"/>
          <w:color w:val="auto"/>
        </w:rPr>
      </w:pPr>
    </w:p>
    <w:p>
      <w:pPr xmlns:w="http://schemas.openxmlformats.org/wordprocessingml/2006/main">
        <w:ind w:left="220" w:right="220" w:hanging="210"/>
        <w:spacing w:after="0" w:line="217" w:lineRule="auto"/>
        <w:tabs>
          <w:tab w:leader="none" w:pos="220" w:val="left"/>
        </w:tabs>
        <w:numPr>
          <w:ilvl w:val="0"/>
          <w:numId w:val="1"/>
        </w:numPr>
        <w:rPr>
          <w:rFonts w:ascii="Symbol" w:cs="Symbol" w:eastAsia="Symbol" w:hAnsi="Symbol"/>
          <w:sz w:val="16"/>
          <w:szCs w:val="16"/>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die verband houdt met de handel of uitoefening van grondstoffenfutures zal zich vestigen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343" w:lineRule="exact"/>
        <w:rPr>
          <w:sz w:val="20"/>
          <w:szCs w:val="20"/>
          <w:color w:val="auto"/>
        </w:rPr>
      </w:pPr>
    </w:p>
    <w:p>
      <w:pPr xmlns:w="http://schemas.openxmlformats.org/wordprocessingml/2006/main">
        <w:ind w:right="3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de termijnpositie van grondstoffen.)</w:t>
      </w:r>
    </w:p>
    <w:p>
      <w:pPr>
        <w:sectPr>
          <w:pgSz w:w="12240" w:h="15840" w:orient="portrait"/>
          <w:cols w:equalWidth="0" w:num="1">
            <w:col w:w="10520"/>
          </w:cols>
          <w:pgMar w:left="1080" w:top="706" w:right="640" w:bottom="457" w:gutter="0" w:footer="0" w:header="0"/>
        </w:sectPr>
      </w:pPr>
    </w:p>
    <w:p>
      <w:pPr>
        <w:spacing w:after="0" w:line="120" w:lineRule="exact"/>
        <w:rPr>
          <w:sz w:val="20"/>
          <w:szCs w:val="20"/>
          <w:color w:val="auto"/>
        </w:rPr>
      </w:pPr>
    </w:p>
    <w:tbl>
      <w:tblPr>
        <w:tblLayout w:type="fixed"/>
        <w:tblInd w:w="180" w:type="dxa"/>
        <w:tblCellMar>
          <w:top w:w="0" w:type="dxa"/>
          <w:left w:w="0" w:type="dxa"/>
          <w:bottom w:w="0" w:type="dxa"/>
          <w:right w:w="0" w:type="dxa"/>
        </w:tblCellMar>
      </w:tblPr>
      <w:tr>
        <w:trPr>
          <w:trHeight w:val="195"/>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USD 1.000</w:t>
            </w:r>
          </w:p>
        </w:tc>
        <w:tc>
          <w:tcPr>
            <w:tcW w:w="480" w:type="dxa"/>
            <w:vAlign w:val="bottom"/>
            <w:tcBorders>
              <w:bottom w:val="single" w:sz="8" w:color="D9D9D9"/>
            </w:tcBorders>
          </w:tcPr>
          <w:p>
            <w:pPr>
              <w:spacing w:after="0"/>
              <w:rPr>
                <w:sz w:val="16"/>
                <w:szCs w:val="16"/>
                <w:color w:val="auto"/>
              </w:rPr>
            </w:pPr>
          </w:p>
        </w:tc>
        <w:tc>
          <w:tcPr>
            <w:tcW w:w="2300" w:type="dxa"/>
            <w:vAlign w:val="bottom"/>
            <w:tcBorders>
              <w:bottom w:val="single" w:sz="8" w:color="D9D9D9"/>
            </w:tcBorders>
            <w:gridSpan w:val="4"/>
          </w:tcPr>
          <w:p>
            <w:pPr xmlns:w="http://schemas.openxmlformats.org/wordprocessingml/2006/main">
              <w:jc w:val="right"/>
              <w:ind w:right="20"/>
              <w:spacing w:after="0"/>
              <w:rPr>
                <w:sz w:val="20"/>
                <w:szCs w:val="20"/>
                <w:color w:val="auto"/>
              </w:rPr>
            </w:pPr>
            <w:r>
              <w:rPr xmlns:w="http://schemas.openxmlformats.org/wordprocessingml/2006/main">
                <w:rFonts w:ascii="Calibri" w:cs="Calibri" w:eastAsia="Calibri" w:hAnsi="Calibri"/>
                <w:sz w:val="16"/>
                <w:szCs w:val="16"/>
                <w:color w:val="595959"/>
              </w:rPr>
              <w:t xml:space="preserve">P/L van een lange termijnpositie</w:t>
            </w:r>
          </w:p>
        </w:tc>
        <w:tc>
          <w:tcPr>
            <w:tcW w:w="180" w:type="dxa"/>
            <w:vAlign w:val="bottom"/>
            <w:tcBorders>
              <w:bottom w:val="single" w:sz="8" w:color="D9D9D9"/>
            </w:tcBorders>
          </w:tcPr>
          <w:p>
            <w:pPr>
              <w:spacing w:after="0"/>
              <w:rPr>
                <w:sz w:val="16"/>
                <w:szCs w:val="16"/>
                <w:color w:val="auto"/>
              </w:rPr>
            </w:pPr>
          </w:p>
        </w:tc>
        <w:tc>
          <w:tcPr>
            <w:tcW w:w="480" w:type="dxa"/>
            <w:vAlign w:val="bottom"/>
            <w:tcBorders>
              <w:bottom w:val="single" w:sz="8" w:color="D9D9D9"/>
            </w:tcBorders>
          </w:tcPr>
          <w:p>
            <w:pPr>
              <w:spacing w:after="0"/>
              <w:rPr>
                <w:sz w:val="16"/>
                <w:szCs w:val="16"/>
                <w:color w:val="auto"/>
              </w:rPr>
            </w:pPr>
          </w:p>
        </w:tc>
        <w:tc>
          <w:tcPr>
            <w:tcW w:w="500" w:type="dxa"/>
            <w:vAlign w:val="bottom"/>
            <w:tcBorders>
              <w:bottom w:val="single" w:sz="8" w:color="D9D9D9"/>
            </w:tcBorders>
          </w:tcPr>
          <w:p>
            <w:pPr>
              <w:spacing w:after="0"/>
              <w:rPr>
                <w:sz w:val="16"/>
                <w:szCs w:val="16"/>
                <w:color w:val="auto"/>
              </w:rPr>
            </w:pPr>
          </w:p>
        </w:tc>
        <w:tc>
          <w:tcPr>
            <w:tcW w:w="1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68"/>
        </w:trPr>
        <w:tc>
          <w:tcPr>
            <w:tcW w:w="720" w:type="dxa"/>
            <w:vAlign w:val="bottom"/>
            <w:gridSpan w:val="2"/>
            <w:vMerge w:val="continue"/>
          </w:tcPr>
          <w:p>
            <w:pPr>
              <w:spacing w:after="0"/>
              <w:rPr>
                <w:sz w:val="5"/>
                <w:szCs w:val="5"/>
                <w:color w:val="auto"/>
              </w:rPr>
            </w:pPr>
          </w:p>
        </w:tc>
        <w:tc>
          <w:tcPr>
            <w:tcW w:w="480" w:type="dxa"/>
            <w:vAlign w:val="bottom"/>
            <w:tcBorders>
              <w:left w:val="single" w:sz="8" w:color="BFBFBF"/>
            </w:tcBorders>
          </w:tcPr>
          <w:p>
            <w:pPr>
              <w:spacing w:after="0"/>
              <w:rPr>
                <w:sz w:val="5"/>
                <w:szCs w:val="5"/>
                <w:color w:val="auto"/>
              </w:rPr>
            </w:pPr>
          </w:p>
        </w:tc>
        <w:tc>
          <w:tcPr>
            <w:tcW w:w="52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800" w:type="dxa"/>
            <w:vAlign w:val="bottom"/>
          </w:tcPr>
          <w:p>
            <w:pPr>
              <w:spacing w:after="0"/>
              <w:rPr>
                <w:sz w:val="5"/>
                <w:szCs w:val="5"/>
                <w:color w:val="auto"/>
              </w:rPr>
            </w:pPr>
          </w:p>
        </w:tc>
        <w:tc>
          <w:tcPr>
            <w:tcW w:w="18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16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44"/>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8"/>
              </w:rPr>
              <w:t xml:space="preserve">$ 500</w:t>
            </w:r>
          </w:p>
        </w:tc>
        <w:tc>
          <w:tcPr>
            <w:tcW w:w="480" w:type="dxa"/>
            <w:vAlign w:val="bottom"/>
            <w:tcBorders>
              <w:left w:val="single" w:sz="8" w:color="BFBFBF"/>
              <w:bottom w:val="single" w:sz="8" w:color="D9D9D9"/>
            </w:tcBorders>
          </w:tcPr>
          <w:p>
            <w:pPr>
              <w:spacing w:after="0"/>
              <w:rPr>
                <w:sz w:val="21"/>
                <w:szCs w:val="21"/>
                <w:color w:val="auto"/>
              </w:rPr>
            </w:pPr>
          </w:p>
        </w:tc>
        <w:tc>
          <w:tcPr>
            <w:tcW w:w="52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800" w:type="dxa"/>
            <w:vAlign w:val="bottom"/>
            <w:tcBorders>
              <w:bottom w:val="single" w:sz="8" w:color="D9D9D9"/>
            </w:tcBorders>
          </w:tcPr>
          <w:p>
            <w:pPr>
              <w:spacing w:after="0"/>
              <w:rPr>
                <w:sz w:val="21"/>
                <w:szCs w:val="21"/>
                <w:color w:val="auto"/>
              </w:rPr>
            </w:pPr>
          </w:p>
        </w:tc>
        <w:tc>
          <w:tcPr>
            <w:tcW w:w="18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2"/>
        </w:trPr>
        <w:tc>
          <w:tcPr>
            <w:tcW w:w="18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800" w:type="dxa"/>
            <w:vAlign w:val="bottom"/>
          </w:tcPr>
          <w:p>
            <w:pPr>
              <w:spacing w:after="0"/>
              <w:rPr>
                <w:sz w:val="6"/>
                <w:szCs w:val="6"/>
                <w:color w:val="auto"/>
              </w:rPr>
            </w:pPr>
          </w:p>
        </w:tc>
        <w:tc>
          <w:tcPr>
            <w:tcW w:w="18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4"/>
        </w:trPr>
        <w:tc>
          <w:tcPr>
            <w:tcW w:w="180" w:type="dxa"/>
            <w:vAlign w:val="bottom"/>
            <w:vMerge w:val="continue"/>
          </w:tcPr>
          <w:p>
            <w:pPr>
              <w:spacing w:after="0"/>
              <w:rPr>
                <w:sz w:val="21"/>
                <w:szCs w:val="21"/>
                <w:color w:val="auto"/>
              </w:rPr>
            </w:pP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480" w:type="dxa"/>
            <w:vAlign w:val="bottom"/>
            <w:tcBorders>
              <w:left w:val="single" w:sz="8" w:color="BFBFBF"/>
              <w:bottom w:val="single" w:sz="8" w:color="BFBFBF"/>
            </w:tcBorders>
          </w:tcPr>
          <w:p>
            <w:pPr>
              <w:spacing w:after="0"/>
              <w:rPr>
                <w:sz w:val="21"/>
                <w:szCs w:val="21"/>
                <w:color w:val="auto"/>
              </w:rPr>
            </w:pPr>
          </w:p>
        </w:tc>
        <w:tc>
          <w:tcPr>
            <w:tcW w:w="520" w:type="dxa"/>
            <w:vAlign w:val="bottom"/>
            <w:tcBorders>
              <w:bottom w:val="single" w:sz="8" w:color="BFBFBF"/>
              <w:right w:val="single" w:sz="8" w:color="D9D9D9"/>
            </w:tcBorders>
          </w:tcPr>
          <w:p>
            <w:pPr>
              <w:spacing w:after="0"/>
              <w:rPr>
                <w:sz w:val="21"/>
                <w:szCs w:val="21"/>
                <w:color w:val="auto"/>
              </w:rPr>
            </w:pPr>
          </w:p>
        </w:tc>
        <w:tc>
          <w:tcPr>
            <w:tcW w:w="480" w:type="dxa"/>
            <w:vAlign w:val="bottom"/>
            <w:tcBorders>
              <w:bottom w:val="single" w:sz="8" w:color="BFBFBF"/>
            </w:tcBorders>
          </w:tcPr>
          <w:p>
            <w:pPr>
              <w:spacing w:after="0"/>
              <w:rPr>
                <w:sz w:val="21"/>
                <w:szCs w:val="21"/>
                <w:color w:val="auto"/>
              </w:rPr>
            </w:pPr>
          </w:p>
        </w:tc>
        <w:tc>
          <w:tcPr>
            <w:tcW w:w="500" w:type="dxa"/>
            <w:vAlign w:val="bottom"/>
            <w:tcBorders>
              <w:bottom w:val="single" w:sz="8" w:color="BFBFBF"/>
              <w:right w:val="single" w:sz="8" w:color="D9D9D9"/>
            </w:tcBorders>
          </w:tcPr>
          <w:p>
            <w:pPr>
              <w:spacing w:after="0"/>
              <w:rPr>
                <w:sz w:val="21"/>
                <w:szCs w:val="21"/>
                <w:color w:val="auto"/>
              </w:rPr>
            </w:pPr>
          </w:p>
        </w:tc>
        <w:tc>
          <w:tcPr>
            <w:tcW w:w="800" w:type="dxa"/>
            <w:vAlign w:val="bottom"/>
            <w:tcBorders>
              <w:bottom w:val="single" w:sz="8" w:color="BFBFBF"/>
            </w:tcBorders>
          </w:tcPr>
          <w:p>
            <w:pPr>
              <w:spacing w:after="0"/>
              <w:rPr>
                <w:sz w:val="21"/>
                <w:szCs w:val="21"/>
                <w:color w:val="auto"/>
              </w:rPr>
            </w:pPr>
          </w:p>
        </w:tc>
        <w:tc>
          <w:tcPr>
            <w:tcW w:w="180" w:type="dxa"/>
            <w:vAlign w:val="bottom"/>
            <w:tcBorders>
              <w:bottom w:val="single" w:sz="8" w:color="BFBFBF"/>
              <w:right w:val="single" w:sz="8" w:color="D9D9D9"/>
            </w:tcBorders>
          </w:tcPr>
          <w:p>
            <w:pPr>
              <w:spacing w:after="0"/>
              <w:rPr>
                <w:sz w:val="21"/>
                <w:szCs w:val="21"/>
                <w:color w:val="auto"/>
              </w:rPr>
            </w:pPr>
          </w:p>
        </w:tc>
        <w:tc>
          <w:tcPr>
            <w:tcW w:w="480" w:type="dxa"/>
            <w:vAlign w:val="bottom"/>
            <w:tcBorders>
              <w:bottom w:val="single" w:sz="8" w:color="BFBFBF"/>
            </w:tcBorders>
          </w:tcPr>
          <w:p>
            <w:pPr>
              <w:spacing w:after="0"/>
              <w:rPr>
                <w:sz w:val="21"/>
                <w:szCs w:val="21"/>
                <w:color w:val="auto"/>
              </w:rPr>
            </w:pPr>
          </w:p>
        </w:tc>
        <w:tc>
          <w:tcPr>
            <w:tcW w:w="500" w:type="dxa"/>
            <w:vAlign w:val="bottom"/>
            <w:tcBorders>
              <w:bottom w:val="single" w:sz="8" w:color="BFBFBF"/>
              <w:right w:val="single" w:sz="8" w:color="D9D9D9"/>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0"/>
        </w:trPr>
        <w:tc>
          <w:tcPr>
            <w:tcW w:w="180" w:type="dxa"/>
            <w:vAlign w:val="bottom"/>
          </w:tcPr>
          <w:p>
            <w:pPr>
              <w:spacing w:after="0"/>
              <w:rPr>
                <w:sz w:val="6"/>
                <w:szCs w:val="6"/>
                <w:color w:val="auto"/>
              </w:rPr>
            </w:pPr>
          </w:p>
        </w:tc>
        <w:tc>
          <w:tcPr>
            <w:tcW w:w="540" w:type="dxa"/>
            <w:vAlign w:val="bottom"/>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800" w:type="dxa"/>
            <w:vAlign w:val="bottom"/>
          </w:tcPr>
          <w:p>
            <w:pPr>
              <w:spacing w:after="0"/>
              <w:rPr>
                <w:sz w:val="6"/>
                <w:szCs w:val="6"/>
                <w:color w:val="auto"/>
              </w:rPr>
            </w:pPr>
          </w:p>
        </w:tc>
        <w:tc>
          <w:tcPr>
            <w:tcW w:w="18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4"/>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-$ 500</w:t>
            </w:r>
          </w:p>
        </w:tc>
        <w:tc>
          <w:tcPr>
            <w:tcW w:w="480" w:type="dxa"/>
            <w:vAlign w:val="bottom"/>
            <w:tcBorders>
              <w:left w:val="single" w:sz="8" w:color="BFBFBF"/>
              <w:bottom w:val="single" w:sz="8" w:color="D9D9D9"/>
            </w:tcBorders>
          </w:tcPr>
          <w:p>
            <w:pPr>
              <w:spacing w:after="0"/>
              <w:rPr>
                <w:sz w:val="21"/>
                <w:szCs w:val="21"/>
                <w:color w:val="auto"/>
              </w:rPr>
            </w:pPr>
          </w:p>
        </w:tc>
        <w:tc>
          <w:tcPr>
            <w:tcW w:w="52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800" w:type="dxa"/>
            <w:vAlign w:val="bottom"/>
            <w:tcBorders>
              <w:bottom w:val="single" w:sz="8" w:color="D9D9D9"/>
            </w:tcBorders>
          </w:tcPr>
          <w:p>
            <w:pPr>
              <w:spacing w:after="0"/>
              <w:rPr>
                <w:sz w:val="21"/>
                <w:szCs w:val="21"/>
                <w:color w:val="auto"/>
              </w:rPr>
            </w:pPr>
          </w:p>
        </w:tc>
        <w:tc>
          <w:tcPr>
            <w:tcW w:w="180" w:type="dxa"/>
            <w:vAlign w:val="bottom"/>
            <w:tcBorders>
              <w:bottom w:val="single" w:sz="8" w:color="D9D9D9"/>
              <w:right w:val="single" w:sz="8" w:color="D9D9D9"/>
            </w:tcBorders>
          </w:tcPr>
          <w:p>
            <w:pPr>
              <w:spacing w:after="0"/>
              <w:rPr>
                <w:sz w:val="21"/>
                <w:szCs w:val="21"/>
                <w:color w:val="auto"/>
              </w:rPr>
            </w:pPr>
          </w:p>
        </w:tc>
        <w:tc>
          <w:tcPr>
            <w:tcW w:w="480" w:type="dxa"/>
            <w:vAlign w:val="bottom"/>
            <w:tcBorders>
              <w:bottom w:val="single" w:sz="8" w:color="D9D9D9"/>
            </w:tcBorders>
          </w:tcPr>
          <w:p>
            <w:pPr>
              <w:spacing w:after="0"/>
              <w:rPr>
                <w:sz w:val="21"/>
                <w:szCs w:val="21"/>
                <w:color w:val="auto"/>
              </w:rPr>
            </w:pPr>
          </w:p>
        </w:tc>
        <w:tc>
          <w:tcPr>
            <w:tcW w:w="500" w:type="dxa"/>
            <w:vAlign w:val="bottom"/>
            <w:tcBorders>
              <w:bottom w:val="single" w:sz="8" w:color="D9D9D9"/>
              <w:right w:val="single" w:sz="8" w:color="D9D9D9"/>
            </w:tcBorders>
          </w:tcPr>
          <w:p>
            <w:pPr>
              <w:spacing w:after="0"/>
              <w:rPr>
                <w:sz w:val="21"/>
                <w:szCs w:val="21"/>
                <w:color w:val="auto"/>
              </w:rPr>
            </w:pPr>
          </w:p>
        </w:tc>
        <w:tc>
          <w:tcPr>
            <w:tcW w:w="16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70"/>
        </w:trPr>
        <w:tc>
          <w:tcPr>
            <w:tcW w:w="720" w:type="dxa"/>
            <w:vAlign w:val="bottom"/>
            <w:gridSpan w:val="2"/>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800" w:type="dxa"/>
            <w:vAlign w:val="bottom"/>
          </w:tcPr>
          <w:p>
            <w:pPr>
              <w:spacing w:after="0"/>
              <w:rPr>
                <w:sz w:val="6"/>
                <w:szCs w:val="6"/>
                <w:color w:val="auto"/>
              </w:rPr>
            </w:pPr>
          </w:p>
        </w:tc>
        <w:tc>
          <w:tcPr>
            <w:tcW w:w="18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6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71"/>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6"/>
              </w:rPr>
              <w:t xml:space="preserve">-$ 1.000</w:t>
            </w:r>
          </w:p>
        </w:tc>
        <w:tc>
          <w:tcPr>
            <w:tcW w:w="480" w:type="dxa"/>
            <w:vAlign w:val="bottom"/>
            <w:tcBorders>
              <w:left w:val="single" w:sz="8" w:color="BFBFBF"/>
              <w:bottom w:val="single" w:sz="8" w:color="D9D9D9"/>
            </w:tcBorders>
          </w:tcPr>
          <w:p>
            <w:pPr>
              <w:spacing w:after="0"/>
              <w:rPr>
                <w:sz w:val="23"/>
                <w:szCs w:val="23"/>
                <w:color w:val="auto"/>
              </w:rPr>
            </w:pPr>
          </w:p>
        </w:tc>
        <w:tc>
          <w:tcPr>
            <w:tcW w:w="520" w:type="dxa"/>
            <w:vAlign w:val="bottom"/>
            <w:tcBorders>
              <w:bottom w:val="single" w:sz="8" w:color="D9D9D9"/>
              <w:right w:val="single" w:sz="8" w:color="D9D9D9"/>
            </w:tcBorders>
          </w:tcPr>
          <w:p>
            <w:pPr>
              <w:spacing w:after="0"/>
              <w:rPr>
                <w:sz w:val="23"/>
                <w:szCs w:val="23"/>
                <w:color w:val="auto"/>
              </w:rPr>
            </w:pPr>
          </w:p>
        </w:tc>
        <w:tc>
          <w:tcPr>
            <w:tcW w:w="480" w:type="dxa"/>
            <w:vAlign w:val="bottom"/>
            <w:tcBorders>
              <w:bottom w:val="single" w:sz="8" w:color="D9D9D9"/>
            </w:tcBorders>
          </w:tcPr>
          <w:p>
            <w:pPr>
              <w:spacing w:after="0"/>
              <w:rPr>
                <w:sz w:val="23"/>
                <w:szCs w:val="23"/>
                <w:color w:val="auto"/>
              </w:rPr>
            </w:pPr>
          </w:p>
        </w:tc>
        <w:tc>
          <w:tcPr>
            <w:tcW w:w="500" w:type="dxa"/>
            <w:vAlign w:val="bottom"/>
            <w:tcBorders>
              <w:bottom w:val="single" w:sz="8" w:color="D9D9D9"/>
              <w:right w:val="single" w:sz="8" w:color="D9D9D9"/>
            </w:tcBorders>
          </w:tcPr>
          <w:p>
            <w:pPr>
              <w:spacing w:after="0"/>
              <w:rPr>
                <w:sz w:val="23"/>
                <w:szCs w:val="23"/>
                <w:color w:val="auto"/>
              </w:rPr>
            </w:pPr>
          </w:p>
        </w:tc>
        <w:tc>
          <w:tcPr>
            <w:tcW w:w="800" w:type="dxa"/>
            <w:vAlign w:val="bottom"/>
            <w:tcBorders>
              <w:bottom w:val="single" w:sz="8" w:color="D9D9D9"/>
            </w:tcBorders>
          </w:tcPr>
          <w:p>
            <w:pPr>
              <w:spacing w:after="0"/>
              <w:rPr>
                <w:sz w:val="23"/>
                <w:szCs w:val="23"/>
                <w:color w:val="auto"/>
              </w:rPr>
            </w:pPr>
          </w:p>
        </w:tc>
        <w:tc>
          <w:tcPr>
            <w:tcW w:w="180" w:type="dxa"/>
            <w:vAlign w:val="bottom"/>
            <w:tcBorders>
              <w:bottom w:val="single" w:sz="8" w:color="D9D9D9"/>
              <w:right w:val="single" w:sz="8" w:color="D9D9D9"/>
            </w:tcBorders>
          </w:tcPr>
          <w:p>
            <w:pPr>
              <w:spacing w:after="0"/>
              <w:rPr>
                <w:sz w:val="23"/>
                <w:szCs w:val="23"/>
                <w:color w:val="auto"/>
              </w:rPr>
            </w:pPr>
          </w:p>
        </w:tc>
        <w:tc>
          <w:tcPr>
            <w:tcW w:w="480" w:type="dxa"/>
            <w:vAlign w:val="bottom"/>
            <w:tcBorders>
              <w:bottom w:val="single" w:sz="8" w:color="D9D9D9"/>
            </w:tcBorders>
          </w:tcPr>
          <w:p>
            <w:pPr>
              <w:spacing w:after="0"/>
              <w:rPr>
                <w:sz w:val="23"/>
                <w:szCs w:val="23"/>
                <w:color w:val="auto"/>
              </w:rPr>
            </w:pPr>
          </w:p>
        </w:tc>
        <w:tc>
          <w:tcPr>
            <w:tcW w:w="500" w:type="dxa"/>
            <w:vAlign w:val="bottom"/>
            <w:tcBorders>
              <w:bottom w:val="single" w:sz="8" w:color="D9D9D9"/>
              <w:right w:val="single" w:sz="8" w:color="D9D9D9"/>
            </w:tcBorders>
          </w:tcPr>
          <w:p>
            <w:pPr>
              <w:spacing w:after="0"/>
              <w:rPr>
                <w:sz w:val="23"/>
                <w:szCs w:val="23"/>
                <w:color w:val="auto"/>
              </w:rPr>
            </w:pPr>
          </w:p>
        </w:tc>
        <w:tc>
          <w:tcPr>
            <w:tcW w:w="16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50"/>
        </w:trPr>
        <w:tc>
          <w:tcPr>
            <w:tcW w:w="720" w:type="dxa"/>
            <w:vAlign w:val="bottom"/>
            <w:gridSpan w:val="2"/>
            <w:vMerge w:val="continue"/>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2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800" w:type="dxa"/>
            <w:vAlign w:val="bottom"/>
            <w:tcBorders>
              <w:top w:val="single" w:sz="8" w:color="D9D9D9"/>
            </w:tcBorders>
          </w:tcPr>
          <w:p>
            <w:pPr>
              <w:spacing w:after="0"/>
              <w:rPr>
                <w:sz w:val="4"/>
                <w:szCs w:val="4"/>
                <w:color w:val="auto"/>
              </w:rPr>
            </w:pPr>
          </w:p>
        </w:tc>
        <w:tc>
          <w:tcPr>
            <w:tcW w:w="18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16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1020" w:type="dxa"/>
            <w:vAlign w:val="bottom"/>
            <w:gridSpan w:val="2"/>
          </w:tcPr>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1000" w:type="dxa"/>
            <w:vAlign w:val="bottom"/>
            <w:gridSpan w:val="2"/>
          </w:tcPr>
          <w:p>
            <w:pPr xmlns:w="http://schemas.openxmlformats.org/wordprocessingml/2006/main">
              <w:jc w:val="right"/>
              <w:ind w:right="360"/>
              <w:spacing w:after="0"/>
              <w:rPr>
                <w:sz w:val="20"/>
                <w:szCs w:val="20"/>
                <w:color w:val="auto"/>
              </w:rPr>
            </w:pPr>
            <w:r>
              <w:rPr xmlns:w="http://schemas.openxmlformats.org/wordprocessingml/2006/main">
                <w:rFonts w:ascii="Calibri" w:cs="Calibri" w:eastAsia="Calibri" w:hAnsi="Calibri"/>
                <w:sz w:val="18"/>
                <w:szCs w:val="18"/>
                <w:color w:val="595959"/>
              </w:rPr>
              <w:t xml:space="preserve">$ 45</w:t>
            </w:r>
          </w:p>
        </w:tc>
        <w:tc>
          <w:tcPr>
            <w:tcW w:w="1300" w:type="dxa"/>
            <w:vAlign w:val="bottom"/>
            <w:gridSpan w:val="2"/>
          </w:tcPr>
          <w:p>
            <w:pPr xmlns:w="http://schemas.openxmlformats.org/wordprocessingml/2006/main">
              <w:jc w:val="right"/>
              <w:ind w:right="680"/>
              <w:spacing w:after="0"/>
              <w:rPr>
                <w:sz w:val="20"/>
                <w:szCs w:val="20"/>
                <w:color w:val="auto"/>
              </w:rPr>
            </w:pPr>
            <w:r>
              <w:rPr xmlns:w="http://schemas.openxmlformats.org/wordprocessingml/2006/main">
                <w:rFonts w:ascii="Calibri" w:cs="Calibri" w:eastAsia="Calibri" w:hAnsi="Calibri"/>
                <w:sz w:val="18"/>
                <w:szCs w:val="18"/>
                <w:color w:val="595959"/>
              </w:rPr>
              <w:t xml:space="preserve">$ 50</w:t>
            </w:r>
          </w:p>
        </w:tc>
        <w:tc>
          <w:tcPr>
            <w:tcW w:w="660" w:type="dxa"/>
            <w:vAlign w:val="bottom"/>
            <w:gridSpan w:val="2"/>
          </w:tcPr>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$ 55</w:t>
            </w:r>
          </w:p>
        </w:tc>
        <w:tc>
          <w:tcPr>
            <w:tcW w:w="64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1149985</wp:posOffset>
            </wp:positionH>
            <wp:positionV relativeFrom="paragraph">
              <wp:posOffset>-855345</wp:posOffset>
            </wp:positionV>
            <wp:extent cx="1316990" cy="49403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extLst>
                    </a:blip>
                    <a:srcRect/>
                    <a:stretch>
                      <a:fillRect/>
                    </a:stretch>
                  </pic:blipFill>
                  <pic:spPr bwMode="auto">
                    <a:xfrm>
                      <a:off x="0" y="0"/>
                      <a:ext cx="1316990" cy="494030"/>
                    </a:xfrm>
                    <a:prstGeom prst="rect">
                      <a:avLst/>
                    </a:prstGeom>
                    <a:noFill/>
                  </pic:spPr>
                </pic:pic>
              </a:graphicData>
            </a:graphic>
          </wp:anchor>
        </w:drawing>
      </w:r>
    </w:p>
    <w:p>
      <w:pPr>
        <w:spacing w:after="0" w:line="25" w:lineRule="exact"/>
        <w:rPr>
          <w:sz w:val="20"/>
          <w:szCs w:val="20"/>
          <w:color w:val="auto"/>
        </w:rPr>
      </w:pPr>
    </w:p>
    <w:p>
      <w:pPr xmlns:w="http://schemas.openxmlformats.org/wordprocessingml/2006/main">
        <w:ind w:left="160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 grondstof</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$45</w:t>
      </w:r>
    </w:p>
    <w:p>
      <w:pPr>
        <w:spacing w:after="0" w:line="177" w:lineRule="exact"/>
        <w:rPr>
          <w:sz w:val="20"/>
          <w:szCs w:val="20"/>
          <w:color w:val="auto"/>
        </w:rPr>
      </w:pPr>
    </w:p>
    <w:p>
      <w:pPr xmlns:w="http://schemas.openxmlformats.org/wordprocessingml/2006/main">
        <w:ind w:left="280" w:right="1080" w:hanging="144"/>
        <w:spacing w:after="0" w:line="219" w:lineRule="auto"/>
        <w:tabs>
          <w:tab w:leader="none" w:pos="280" w:val="left"/>
        </w:tabs>
        <w:numPr>
          <w:ilvl w:val="0"/>
          <w:numId w:val="2"/>
        </w:numPr>
        <w:rPr>
          <w:rFonts w:ascii="Symbol" w:cs="Symbol" w:eastAsia="Symbol" w:hAnsi="Symbol"/>
          <w:sz w:val="15"/>
          <w:szCs w:val="15"/>
          <w:color w:val="auto"/>
        </w:rPr>
      </w:pPr>
      <w:r>
        <w:rPr xmlns:w="http://schemas.openxmlformats.org/wordprocessingml/2006/main">
          <w:rFonts w:ascii="Calibri" w:cs="Calibri" w:eastAsia="Calibri" w:hAnsi="Calibri"/>
          <w:sz w:val="15"/>
          <w:szCs w:val="15"/>
          <w:color w:val="auto"/>
        </w:rPr>
        <w:t xml:space="preserve">Gunstig voor de verkoper (kort) + $ 500</w:t>
      </w: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koper (lang) - $ 500</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21" w:lineRule="exact"/>
        <w:rPr>
          <w:sz w:val="20"/>
          <w:szCs w:val="20"/>
          <w:color w:val="auto"/>
        </w:rPr>
      </w:pPr>
    </w:p>
    <w:p>
      <w:pPr xmlns:w="http://schemas.openxmlformats.org/wordprocessingml/2006/main">
        <w:jc w:val="center"/>
        <w:ind w:right="220"/>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$51</w:t>
      </w:r>
    </w:p>
    <w:p>
      <w:pPr>
        <w:spacing w:after="0" w:line="120" w:lineRule="exact"/>
        <w:rPr>
          <w:sz w:val="20"/>
          <w:szCs w:val="20"/>
          <w:color w:val="auto"/>
        </w:rPr>
      </w:pPr>
    </w:p>
    <w:p>
      <w:pPr xmlns:w="http://schemas.openxmlformats.org/wordprocessingml/2006/main">
        <w:ind w:left="300" w:hanging="148"/>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verkoper (kort) - $ 100</w:t>
      </w:r>
    </w:p>
    <w:p>
      <w:pPr>
        <w:spacing w:after="0" w:line="9" w:lineRule="exact"/>
        <w:rPr>
          <w:sz w:val="20"/>
          <w:szCs w:val="20"/>
          <w:color w:val="auto"/>
        </w:rPr>
      </w:pPr>
    </w:p>
    <w:tbl>
      <w:tblPr>
        <w:tblLayout w:type="fixed"/>
        <w:tblInd w:w="160" w:type="dxa"/>
        <w:tblCellMar>
          <w:top w:w="0" w:type="dxa"/>
          <w:left w:w="0" w:type="dxa"/>
          <w:bottom w:w="0" w:type="dxa"/>
          <w:right w:w="0" w:type="dxa"/>
        </w:tblCellMar>
      </w:tblPr>
      <w:tr>
        <w:trPr>
          <w:trHeight w:val="213"/>
        </w:trPr>
        <w:tc>
          <w:tcPr>
            <w:tcW w:w="192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koper (lang)</w:t>
            </w:r>
          </w:p>
        </w:tc>
        <w:tc>
          <w:tcPr>
            <w:tcW w:w="56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+$ 100</w:t>
            </w:r>
          </w:p>
        </w:tc>
      </w:tr>
    </w:tbl>
    <w:p>
      <w:pPr>
        <w:spacing w:after="0" w:line="245" w:lineRule="exact"/>
        <w:rPr>
          <w:sz w:val="20"/>
          <w:szCs w:val="20"/>
          <w:color w:val="auto"/>
        </w:rPr>
      </w:pPr>
    </w:p>
    <w:p>
      <w:pPr xmlns:w="http://schemas.openxmlformats.org/wordprocessingml/2006/main">
        <w:ind w:right="1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vooraf bepaalde prijs gelijk is aan de werkelijke marktprijs.</w:t>
      </w:r>
    </w:p>
    <w:p>
      <w:pPr>
        <w:spacing w:after="0" w:line="235" w:lineRule="exact"/>
        <w:rPr>
          <w:sz w:val="20"/>
          <w:szCs w:val="20"/>
          <w:color w:val="auto"/>
        </w:rPr>
      </w:pPr>
    </w:p>
    <w:p>
      <w:pPr>
        <w:sectPr>
          <w:pgSz w:w="12240" w:h="15840" w:orient="portrait"/>
          <w:cols w:equalWidth="0" w:num="3">
            <w:col w:w="4980" w:space="140"/>
            <w:col w:w="2560" w:space="220"/>
            <w:col w:w="2620"/>
          </w:cols>
          <w:pgMar w:left="1080" w:top="706" w:right="640" w:bottom="457" w:gutter="0" w:footer="0" w:header="0"/>
          <w:type w:val="continuous"/>
        </w:sectPr>
      </w:pPr>
    </w:p>
    <w:p>
      <w:pPr>
        <w:spacing w:after="0" w:line="93" w:lineRule="exact"/>
        <w:rPr>
          <w:sz w:val="20"/>
          <w:szCs w:val="20"/>
          <w:color w:val="auto"/>
        </w:rPr>
      </w:pPr>
    </w:p>
    <w:p>
      <w:pPr xmlns:w="http://schemas.openxmlformats.org/wordprocessingml/2006/main">
        <w:ind w:right="6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terugkrijgen.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terugkrijgt, hangt af van hoe de onderliggende waarde zich zal ontwikkelen,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prijzen van de onderliggende waarde en de verticale as toont de winst of het verlies.</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betaalt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18415</wp:posOffset>
                </wp:positionV>
                <wp:extent cx="678878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87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5pt" to="529.4pt,1.45pt" o:allowincell="f" strokecolor="#000000" strokeweight="0.4799pt"/>
            </w:pict>
          </mc:Fallback>
        </mc:AlternateContent>
      </w:r>
    </w:p>
    <w:p>
      <w:pPr>
        <w:sectPr>
          <w:pgSz w:w="12240" w:h="15840" w:orient="portrait"/>
          <w:cols w:equalWidth="0" w:num="1">
            <w:col w:w="10520"/>
          </w:cols>
          <w:pgMar w:left="1080" w:top="706" w:right="640" w:bottom="457" w:gutter="0" w:footer="0" w:header="0"/>
          <w:type w:val="continuous"/>
        </w:sectPr>
      </w:pPr>
    </w:p>
    <w:bookmarkStart w:id="2" w:name="page3"/>
    <w:bookmarkEnd w:id="2"/>
    <w:p>
      <w:pPr xmlns:w="http://schemas.openxmlformats.org/wordprocessingml/2006/main">
        <w:ind w:left="220" w:right="4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78942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3.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807085</wp:posOffset>
                </wp:positionV>
                <wp:extent cx="678942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3.55pt" to="583.4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2348230</wp:posOffset>
                </wp:positionV>
                <wp:extent cx="678942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84.9pt" to="583.4pt,184.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6959600</wp:posOffset>
                </wp:positionV>
                <wp:extent cx="678942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548pt" to="583.4pt,5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7988300</wp:posOffset>
                </wp:positionV>
                <wp:extent cx="678942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29pt" to="583.4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828405"/>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7406640</wp:posOffset>
                </wp:positionH>
                <wp:positionV relativeFrom="page">
                  <wp:posOffset>457200</wp:posOffset>
                </wp:positionV>
                <wp:extent cx="0" cy="882840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3.2pt,36pt" to="583.2pt,73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of distributeur en houd geen rekening met uw persoonlijke belastingsituatie, die ook van invloed kan zijn op hoeveel u terugkrijgt.</w:t>
      </w:r>
    </w:p>
    <w:p>
      <w:pPr>
        <w:spacing w:after="0" w:line="77" w:lineRule="exact"/>
        <w:rPr>
          <w:sz w:val="20"/>
          <w:szCs w:val="20"/>
          <w:color w:val="auto"/>
        </w:rPr>
      </w:pPr>
    </w:p>
    <w:p>
      <w:pPr xmlns:w="http://schemas.openxmlformats.org/wordprocessingml/2006/main">
        <w:ind w:left="220" w:right="10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futures op grondstoffen tussen OCC en een groep makelaarskantoren genaamd clearingleden zijn die de posities van hun klanten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hun klanten.</w:t>
      </w:r>
      <w:r>
        <w:rPr xmlns:w="http://schemas.openxmlformats.org/wordprocessingml/2006/main">
          <w:rFonts w:ascii="Calibri" w:cs="Calibri" w:eastAsia="Calibri" w:hAnsi="Calibri"/>
          <w:sz w:val="22"/>
          <w:szCs w:val="22"/>
          <w:color w:val="auto"/>
        </w:rPr>
        <w:t xml:space="preserve"> De makelaarsonderneming van een belegger kan van de belegger verlangen dat hij in verband met de posities gerelateerde zekerheden verstrekt,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bedoeld om het tegenpartijrisico te beheren en de afwikkeling van futures-transacties te vergemakkelijken in het geval dat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w:t>
      </w:r>
    </w:p>
    <w:p>
      <w:pPr>
        <w:sectPr>
          <w:pgSz w:w="12240" w:h="15840" w:orient="portrait"/>
          <w:cols w:equalWidth="0" w:num="1">
            <w:col w:w="10700"/>
          </w:cols>
          <w:pgMar w:left="860" w:top="774" w:right="680" w:bottom="405" w:gutter="0" w:footer="0" w:header="0"/>
        </w:sectPr>
      </w:pPr>
    </w:p>
    <w:p>
      <w:pPr>
        <w:spacing w:after="0" w:line="80" w:lineRule="exact"/>
        <w:rPr>
          <w:sz w:val="20"/>
          <w:szCs w:val="20"/>
          <w:color w:val="auto"/>
        </w:rPr>
      </w:pPr>
    </w:p>
    <w:p>
      <w:pPr xmlns:w="http://schemas.openxmlformats.org/wordprocessingml/2006/main">
        <w:ind w:left="220"/>
        <w:spacing w:after="0" w:line="23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over of verkoopt dit product kan u andere kosten in rekening brengen.</w:t>
      </w:r>
      <w:r>
        <w:rPr xmlns:w="http://schemas.openxmlformats.org/wordprocessingml/2006/main">
          <w:rFonts w:ascii="Calibri" w:cs="Calibri" w:eastAsia="Calibri" w:hAnsi="Calibri"/>
          <w:sz w:val="22"/>
          <w:szCs w:val="22"/>
          <w:color w:val="auto"/>
        </w:rPr>
        <w:t xml:space="preserve"> Als dat zo is, zal deze persoon u informatie verstrekken over deze kosten en hoe deze uw investering beïnvloeden.</w:t>
      </w:r>
      <w:r>
        <w:rPr xmlns:w="http://schemas.openxmlformats.org/wordprocessingml/2006/main">
          <w:rFonts w:ascii="Calibri" w:cs="Calibri" w:eastAsia="Calibri" w:hAnsi="Calibri"/>
          <w:sz w:val="22"/>
          <w:szCs w:val="22"/>
          <w:color w:val="auto"/>
        </w:rPr>
        <w:t xml:space="preserve"> De totale kosten van termijncontracten in grondstoffen zijn afhankelijk van meerdere factoren.</w:t>
      </w:r>
      <w:r>
        <w:rPr xmlns:w="http://schemas.openxmlformats.org/wordprocessingml/2006/main">
          <w:rFonts w:ascii="Calibri" w:cs="Calibri" w:eastAsia="Calibri" w:hAnsi="Calibri"/>
          <w:sz w:val="22"/>
          <w:szCs w:val="22"/>
          <w:color w:val="auto"/>
        </w:rPr>
        <w:t xml:space="preserve"> De initiële margevereiste is het bedrag dat door de belegger bij zijn makelaar moet worden gedeponeerd om het termijncontract voor grondstoffen aan te gaan.</w:t>
      </w:r>
      <w:r>
        <w:rPr xmlns:w="http://schemas.openxmlformats.org/wordprocessingml/2006/main">
          <w:rFonts w:ascii="Calibri" w:cs="Calibri" w:eastAsia="Calibri" w:hAnsi="Calibri"/>
          <w:sz w:val="22"/>
          <w:szCs w:val="22"/>
          <w:color w:val="auto"/>
        </w:rPr>
        <w:t xml:space="preserve"> Dit bedrag is over het algemeen gelijk aan een bepaald percentage van de actuele marktwaarde van het contract.</w:t>
      </w:r>
      <w:r>
        <w:rPr xmlns:w="http://schemas.openxmlformats.org/wordprocessingml/2006/main">
          <w:rFonts w:ascii="Calibri" w:cs="Calibri" w:eastAsia="Calibri" w:hAnsi="Calibri"/>
          <w:sz w:val="22"/>
          <w:szCs w:val="22"/>
          <w:color w:val="auto"/>
        </w:rPr>
        <w:t xml:space="preserve"> Het termijncontract voor grondstoffen wordt ook ten minste dagelijks tegen marktwaarde gewaardeerd, en de rekening van elke koper zal het bedrag van eventuele winsten of verliezen op het contract weerspiegelen op basis van de dagelijkse afwikkelingsprijs van het contract en mogelijk zijn aanvullende stortingen van variatiemarge vereist.</w:t>
      </w:r>
      <w:r>
        <w:rPr xmlns:w="http://schemas.openxmlformats.org/wordprocessingml/2006/main">
          <w:rFonts w:ascii="Calibri" w:cs="Calibri" w:eastAsia="Calibri" w:hAnsi="Calibri"/>
          <w:sz w:val="22"/>
          <w:szCs w:val="22"/>
          <w:color w:val="auto"/>
        </w:rPr>
        <w:t xml:space="preserve"> Individuele makelaarskantoren kunnen ook extra marge vereisen die verder gaat dan die vereist door OCC en de Amerikaanse futuresbeurzen.</w:t>
      </w:r>
      <w:r>
        <w:rPr xmlns:w="http://schemas.openxmlformats.org/wordprocessingml/2006/main">
          <w:rFonts w:ascii="Calibri" w:cs="Calibri" w:eastAsia="Calibri" w:hAnsi="Calibri"/>
          <w:sz w:val="22"/>
          <w:szCs w:val="22"/>
          <w:color w:val="auto"/>
        </w:rPr>
        <w:t xml:space="preserve"> Factoren die een significant effect hebben op de marktwaarde van een toekomstige grondstof omvatten, maar zijn niet beperkt tot, de prijs van de onderliggende waarde en de tijd tot de vervaldatum.</w:t>
      </w:r>
      <w:r>
        <w:rPr xmlns:w="http://schemas.openxmlformats.org/wordprocessingml/2006/main">
          <w:rFonts w:ascii="Calibri" w:cs="Calibri" w:eastAsia="Calibri" w:hAnsi="Calibri"/>
          <w:sz w:val="22"/>
          <w:szCs w:val="22"/>
          <w:color w:val="auto"/>
        </w:rPr>
        <w:t xml:space="preserve"> Futures beleggen brengt extra kosten met zich mee die fiscale overwegingen omvatten,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280"/>
        </w:trPr>
        <w:tc>
          <w:tcPr>
            <w:tcW w:w="1560" w:type="dxa"/>
            <w:vAlign w:val="bottom"/>
            <w:tcBorders>
              <w:top w:val="single" w:sz="8" w:color="auto"/>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40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540" w:type="dxa"/>
            <w:vAlign w:val="bottom"/>
            <w:tcBorders>
              <w:top w:val="single" w:sz="8" w:color="auto"/>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r>
      <w:tr>
        <w:trPr>
          <w:trHeight w:val="249"/>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r>
      <w:tr>
        <w:trPr>
          <w:trHeight w:val="244"/>
        </w:trPr>
        <w:tc>
          <w:tcPr>
            <w:tcW w:w="1560" w:type="dxa"/>
            <w:vAlign w:val="bottom"/>
            <w:tcBorders>
              <w:left w:val="single" w:sz="8" w:color="auto"/>
              <w:bottom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right w:val="single" w:sz="8" w:color="auto"/>
            </w:tcBorders>
          </w:tcPr>
          <w:p>
            <w:pPr>
              <w:spacing w:after="0"/>
              <w:rPr>
                <w:sz w:val="21"/>
                <w:szCs w:val="21"/>
                <w:color w:val="auto"/>
              </w:rPr>
            </w:pP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r>
      <w:tr>
        <w:trPr>
          <w:trHeight w:val="247"/>
        </w:trPr>
        <w:tc>
          <w:tcPr>
            <w:tcW w:w="1560" w:type="dxa"/>
            <w:vAlign w:val="bottom"/>
            <w:tcBorders>
              <w:bottom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400" w:type="dxa"/>
            <w:vAlign w:val="bottom"/>
            <w:tcBorders>
              <w:bottom w:val="single" w:sz="8" w:color="auto"/>
            </w:tcBorders>
          </w:tcPr>
          <w:p>
            <w:pPr>
              <w:spacing w:after="0"/>
              <w:rPr>
                <w:sz w:val="21"/>
                <w:szCs w:val="21"/>
                <w:color w:val="auto"/>
              </w:rPr>
            </w:pPr>
          </w:p>
        </w:tc>
        <w:tc>
          <w:tcPr>
            <w:tcW w:w="1540" w:type="dxa"/>
            <w:vAlign w:val="bottom"/>
            <w:tcBorders>
              <w:bottom w:val="single" w:sz="8" w:color="auto"/>
            </w:tcBorders>
          </w:tcPr>
          <w:p>
            <w:pPr>
              <w:spacing w:after="0"/>
              <w:rPr>
                <w:sz w:val="21"/>
                <w:szCs w:val="21"/>
                <w:color w:val="auto"/>
              </w:rPr>
            </w:pPr>
          </w:p>
        </w:tc>
      </w:tr>
      <w:tr>
        <w:trPr>
          <w:trHeight w:val="241"/>
        </w:trPr>
        <w:tc>
          <w:tcPr>
            <w:tcW w:w="3720" w:type="dxa"/>
            <w:vAlign w:val="bottom"/>
            <w:tcBorders>
              <w:left w:val="single" w:sz="8" w:color="auto"/>
              <w:bottom w:val="single" w:sz="8" w:color="auto"/>
              <w:right w:val="single" w:sz="8" w:color="DADADA"/>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540" w:type="dxa"/>
            <w:vAlign w:val="bottom"/>
            <w:tcBorders>
              <w:bottom w:val="single" w:sz="8" w:color="auto"/>
              <w:right w:val="single" w:sz="8" w:color="auto"/>
            </w:tcBorders>
            <w:shd w:val="clear" w:color="auto" w:fill="DADADA"/>
          </w:tcPr>
          <w:p>
            <w:pPr>
              <w:spacing w:after="0"/>
              <w:rPr>
                <w:sz w:val="20"/>
                <w:szCs w:val="20"/>
                <w:color w:val="auto"/>
              </w:rPr>
            </w:pPr>
          </w:p>
        </w:tc>
      </w:tr>
      <w:tr>
        <w:trPr>
          <w:trHeight w:val="249"/>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54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r>
      <w:tr>
        <w:trPr>
          <w:trHeight w:val="205"/>
        </w:trPr>
        <w:tc>
          <w:tcPr>
            <w:tcW w:w="1560" w:type="dxa"/>
            <w:vAlign w:val="bottom"/>
            <w:tcBorders>
              <w:left w:val="single" w:sz="8" w:color="auto"/>
              <w:right w:val="single" w:sz="8" w:color="auto"/>
            </w:tcBorders>
          </w:tcPr>
          <w:p>
            <w:pPr>
              <w:spacing w:after="0"/>
              <w:rPr>
                <w:sz w:val="17"/>
                <w:szCs w:val="17"/>
                <w:color w:val="auto"/>
              </w:rPr>
            </w:pPr>
          </w:p>
        </w:tc>
        <w:tc>
          <w:tcPr>
            <w:tcW w:w="80" w:type="dxa"/>
            <w:vAlign w:val="bottom"/>
          </w:tcPr>
          <w:p>
            <w:pPr>
              <w:spacing w:after="0"/>
              <w:rPr>
                <w:sz w:val="17"/>
                <w:szCs w:val="17"/>
                <w:color w:val="auto"/>
              </w:rPr>
            </w:pPr>
          </w:p>
        </w:tc>
        <w:tc>
          <w:tcPr>
            <w:tcW w:w="2080" w:type="dxa"/>
            <w:vAlign w:val="bottom"/>
            <w:tcBorders>
              <w:right w:val="single" w:sz="8" w:color="auto"/>
            </w:tcBorders>
            <w:gridSpan w:val="4"/>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54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54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54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2"/>
        </w:trPr>
        <w:tc>
          <w:tcPr>
            <w:tcW w:w="1560" w:type="dxa"/>
            <w:vAlign w:val="bottom"/>
            <w:tcBorders>
              <w:left w:val="single" w:sz="8" w:color="auto"/>
              <w:right w:val="single" w:sz="8" w:color="auto"/>
            </w:tcBorders>
          </w:tcPr>
          <w:p>
            <w:pPr xmlns:w="http://schemas.openxmlformats.org/wordprocessingml/2006/main">
              <w:ind w:left="12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400" w:type="dxa"/>
            <w:vAlign w:val="bottom"/>
            <w:tcBorders>
              <w:right w:val="single" w:sz="8" w:color="auto"/>
            </w:tcBorders>
          </w:tcPr>
          <w:p>
            <w:pPr>
              <w:spacing w:after="0"/>
              <w:rPr>
                <w:sz w:val="19"/>
                <w:szCs w:val="19"/>
                <w:color w:val="auto"/>
              </w:rPr>
            </w:pPr>
          </w:p>
        </w:tc>
        <w:tc>
          <w:tcPr>
            <w:tcW w:w="1540" w:type="dxa"/>
            <w:vAlign w:val="bottom"/>
            <w:tcBorders>
              <w:right w:val="single" w:sz="8" w:color="auto"/>
            </w:tcBorders>
          </w:tcPr>
          <w:p>
            <w:pPr>
              <w:spacing w:after="0"/>
              <w:rPr>
                <w:sz w:val="19"/>
                <w:szCs w:val="19"/>
                <w:color w:val="auto"/>
              </w:rPr>
            </w:pPr>
          </w:p>
        </w:tc>
      </w:tr>
      <w:tr>
        <w:trPr>
          <w:trHeight w:val="236"/>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2"/>
        </w:trPr>
        <w:tc>
          <w:tcPr>
            <w:tcW w:w="1560" w:type="dxa"/>
            <w:vAlign w:val="bottom"/>
            <w:tcBorders>
              <w:left w:val="single" w:sz="8" w:color="auto"/>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400" w:type="dxa"/>
            <w:vAlign w:val="bottom"/>
            <w:tcBorders>
              <w:right w:val="single" w:sz="8" w:color="auto"/>
            </w:tcBorders>
            <w:shd w:val="clear" w:color="auto" w:fill="DADADA"/>
          </w:tcPr>
          <w:p>
            <w:pPr>
              <w:spacing w:after="0"/>
              <w:rPr>
                <w:sz w:val="17"/>
                <w:szCs w:val="17"/>
                <w:color w:val="auto"/>
              </w:rPr>
            </w:pPr>
          </w:p>
        </w:tc>
        <w:tc>
          <w:tcPr>
            <w:tcW w:w="1540" w:type="dxa"/>
            <w:vAlign w:val="bottom"/>
            <w:tcBorders>
              <w:right w:val="single" w:sz="8" w:color="auto"/>
            </w:tcBorders>
            <w:shd w:val="clear" w:color="auto" w:fill="DADADA"/>
          </w:tcPr>
          <w:p>
            <w:pPr xmlns:w="http://schemas.openxmlformats.org/wordprocessingml/2006/main">
              <w:ind w:left="80"/>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r>
      <w:tr>
        <w:trPr>
          <w:trHeight w:val="236"/>
        </w:trPr>
        <w:tc>
          <w:tcPr>
            <w:tcW w:w="1560" w:type="dxa"/>
            <w:vAlign w:val="bottom"/>
            <w:tcBorders>
              <w:left w:val="single" w:sz="8" w:color="auto"/>
              <w:bottom w:val="single" w:sz="8" w:color="auto"/>
              <w:right w:val="single" w:sz="8" w:color="DADADA"/>
            </w:tcBorders>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tcBorders>
              <w:bottom w:val="single" w:sz="8" w:color="auto"/>
            </w:tcBorders>
            <w:shd w:val="clear" w:color="auto" w:fill="DADADA"/>
          </w:tcPr>
          <w:p>
            <w:pPr>
              <w:spacing w:after="0"/>
              <w:rPr>
                <w:sz w:val="20"/>
                <w:szCs w:val="20"/>
                <w:color w:val="auto"/>
              </w:rPr>
            </w:pPr>
          </w:p>
        </w:tc>
        <w:tc>
          <w:tcPr>
            <w:tcW w:w="240" w:type="dxa"/>
            <w:vAlign w:val="bottom"/>
            <w:tcBorders>
              <w:bottom w:val="single" w:sz="8" w:color="auto"/>
            </w:tcBorders>
            <w:shd w:val="clear" w:color="auto" w:fill="DADADA"/>
          </w:tcPr>
          <w:p>
            <w:pPr>
              <w:spacing w:after="0"/>
              <w:rPr>
                <w:sz w:val="20"/>
                <w:szCs w:val="20"/>
                <w:color w:val="auto"/>
              </w:rPr>
            </w:pPr>
          </w:p>
        </w:tc>
        <w:tc>
          <w:tcPr>
            <w:tcW w:w="480" w:type="dxa"/>
            <w:vAlign w:val="bottom"/>
            <w:tcBorders>
              <w:bottom w:val="single" w:sz="8" w:color="auto"/>
            </w:tcBorders>
            <w:shd w:val="clear" w:color="auto" w:fill="DADADA"/>
          </w:tcPr>
          <w:p>
            <w:pPr>
              <w:spacing w:after="0"/>
              <w:rPr>
                <w:sz w:val="20"/>
                <w:szCs w:val="20"/>
                <w:color w:val="auto"/>
              </w:rPr>
            </w:pPr>
          </w:p>
        </w:tc>
        <w:tc>
          <w:tcPr>
            <w:tcW w:w="960" w:type="dxa"/>
            <w:vAlign w:val="bottom"/>
            <w:tcBorders>
              <w:bottom w:val="single" w:sz="8" w:color="auto"/>
            </w:tcBorders>
            <w:shd w:val="clear" w:color="auto" w:fill="DADADA"/>
          </w:tcPr>
          <w:p>
            <w:pPr>
              <w:spacing w:after="0"/>
              <w:rPr>
                <w:sz w:val="20"/>
                <w:szCs w:val="20"/>
                <w:color w:val="auto"/>
              </w:rPr>
            </w:pPr>
          </w:p>
        </w:tc>
        <w:tc>
          <w:tcPr>
            <w:tcW w:w="400" w:type="dxa"/>
            <w:vAlign w:val="bottom"/>
            <w:tcBorders>
              <w:bottom w:val="single" w:sz="8" w:color="auto"/>
              <w:right w:val="single" w:sz="8" w:color="auto"/>
            </w:tcBorders>
            <w:shd w:val="clear" w:color="auto" w:fill="DADADA"/>
          </w:tcPr>
          <w:p>
            <w:pPr>
              <w:spacing w:after="0"/>
              <w:rPr>
                <w:sz w:val="20"/>
                <w:szCs w:val="20"/>
                <w:color w:val="auto"/>
              </w:rPr>
            </w:pPr>
          </w:p>
        </w:tc>
        <w:tc>
          <w:tcPr>
            <w:tcW w:w="1540" w:type="dxa"/>
            <w:vAlign w:val="bottom"/>
            <w:tcBorders>
              <w:bottom w:val="single" w:sz="8" w:color="auto"/>
              <w:right w:val="single" w:sz="8" w:color="auto"/>
            </w:tcBorders>
            <w:shd w:val="clear" w:color="auto" w:fill="DADADA"/>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r>
      <w:tr>
        <w:trPr>
          <w:trHeight w:val="205"/>
        </w:trPr>
        <w:tc>
          <w:tcPr>
            <w:tcW w:w="1560" w:type="dxa"/>
            <w:vAlign w:val="bottom"/>
            <w:tcBorders>
              <w:left w:val="single" w:sz="8" w:color="auto"/>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17"/>
                <w:szCs w:val="17"/>
                <w:color w:val="auto"/>
              </w:rPr>
            </w:pPr>
          </w:p>
        </w:tc>
        <w:tc>
          <w:tcPr>
            <w:tcW w:w="24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tcPr>
          <w:p>
            <w:pPr>
              <w:spacing w:after="0"/>
              <w:rPr>
                <w:sz w:val="17"/>
                <w:szCs w:val="17"/>
                <w:color w:val="auto"/>
              </w:rPr>
            </w:pPr>
          </w:p>
        </w:tc>
        <w:tc>
          <w:tcPr>
            <w:tcW w:w="1540" w:type="dxa"/>
            <w:vAlign w:val="bottom"/>
            <w:tcBorders>
              <w:right w:val="single" w:sz="8" w:color="auto"/>
            </w:tcBorders>
          </w:tcPr>
          <w:p>
            <w:pPr>
              <w:spacing w:after="0"/>
              <w:rPr>
                <w:sz w:val="17"/>
                <w:szCs w:val="17"/>
                <w:color w:val="auto"/>
              </w:rPr>
            </w:pPr>
          </w:p>
        </w:tc>
      </w:tr>
      <w:tr>
        <w:trPr>
          <w:trHeight w:val="218"/>
        </w:trPr>
        <w:tc>
          <w:tcPr>
            <w:tcW w:w="1560" w:type="dxa"/>
            <w:vAlign w:val="bottom"/>
            <w:tcBorders>
              <w:left w:val="single" w:sz="8" w:color="auto"/>
              <w:right w:val="single" w:sz="8" w:color="auto"/>
            </w:tcBorders>
          </w:tcPr>
          <w:p>
            <w:pPr xmlns:w="http://schemas.openxmlformats.org/wordprocessingml/2006/main">
              <w:ind w:left="120"/>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400" w:type="dxa"/>
            <w:vAlign w:val="bottom"/>
            <w:tcBorders>
              <w:right w:val="single" w:sz="8" w:color="auto"/>
            </w:tcBorders>
          </w:tcPr>
          <w:p>
            <w:pPr>
              <w:spacing w:after="0"/>
              <w:rPr>
                <w:sz w:val="18"/>
                <w:szCs w:val="18"/>
                <w:color w:val="auto"/>
              </w:rPr>
            </w:pPr>
          </w:p>
        </w:tc>
        <w:tc>
          <w:tcPr>
            <w:tcW w:w="1540" w:type="dxa"/>
            <w:vAlign w:val="bottom"/>
            <w:tcBorders>
              <w:right w:val="single" w:sz="8" w:color="auto"/>
            </w:tcBorders>
          </w:tcPr>
          <w:p>
            <w:pPr>
              <w:spacing w:after="0"/>
              <w:rPr>
                <w:sz w:val="18"/>
                <w:szCs w:val="18"/>
                <w:color w:val="auto"/>
              </w:rPr>
            </w:pPr>
          </w:p>
        </w:tc>
      </w:tr>
      <w:tr>
        <w:trPr>
          <w:trHeight w:val="221"/>
        </w:trPr>
        <w:tc>
          <w:tcPr>
            <w:tcW w:w="1560" w:type="dxa"/>
            <w:vAlign w:val="bottom"/>
            <w:tcBorders>
              <w:left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540" w:type="dxa"/>
            <w:vAlign w:val="bottom"/>
            <w:tcBorders>
              <w:right w:val="single" w:sz="8" w:color="auto"/>
            </w:tcBorders>
          </w:tcPr>
          <w:p>
            <w:pPr>
              <w:spacing w:after="0"/>
              <w:rPr>
                <w:sz w:val="19"/>
                <w:szCs w:val="19"/>
                <w:color w:val="auto"/>
              </w:rPr>
            </w:pP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honorarium</w:t>
            </w:r>
          </w:p>
        </w:tc>
        <w:tc>
          <w:tcPr>
            <w:tcW w:w="1540" w:type="dxa"/>
            <w:vAlign w:val="bottom"/>
            <w:tcBorders>
              <w:right w:val="single" w:sz="8" w:color="auto"/>
            </w:tcBorders>
          </w:tcPr>
          <w:p>
            <w:pPr xmlns:w="http://schemas.openxmlformats.org/wordprocessingml/2006/main">
              <w:ind w:left="8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3"/>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190"/>
        </w:trPr>
        <w:tc>
          <w:tcPr>
            <w:tcW w:w="1560" w:type="dxa"/>
            <w:vAlign w:val="bottom"/>
            <w:tcBorders>
              <w:left w:val="single" w:sz="8" w:color="auto"/>
              <w:right w:val="single" w:sz="8" w:color="auto"/>
            </w:tcBorders>
          </w:tcPr>
          <w:p>
            <w:pPr>
              <w:spacing w:after="0"/>
              <w:rPr>
                <w:sz w:val="16"/>
                <w:szCs w:val="16"/>
                <w:color w:val="auto"/>
              </w:rPr>
            </w:pPr>
          </w:p>
        </w:tc>
        <w:tc>
          <w:tcPr>
            <w:tcW w:w="80" w:type="dxa"/>
            <w:vAlign w:val="bottom"/>
          </w:tcPr>
          <w:p>
            <w:pPr>
              <w:spacing w:after="0"/>
              <w:rPr>
                <w:sz w:val="16"/>
                <w:szCs w:val="16"/>
                <w:color w:val="auto"/>
              </w:rPr>
            </w:pPr>
          </w:p>
        </w:tc>
        <w:tc>
          <w:tcPr>
            <w:tcW w:w="2080" w:type="dxa"/>
            <w:vAlign w:val="bottom"/>
            <w:tcBorders>
              <w:right w:val="single" w:sz="8" w:color="auto"/>
            </w:tcBorders>
            <w:gridSpan w:val="4"/>
          </w:tcPr>
          <w:p>
            <w:pPr xmlns:w="http://schemas.openxmlformats.org/wordprocessingml/2006/main">
              <w:spacing w:after="0" w:line="190"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540" w:type="dxa"/>
            <w:vAlign w:val="bottom"/>
            <w:tcBorders>
              <w:right w:val="single" w:sz="8" w:color="auto"/>
            </w:tcBorders>
          </w:tcPr>
          <w:p>
            <w:pPr>
              <w:spacing w:after="0"/>
              <w:rPr>
                <w:sz w:val="16"/>
                <w:szCs w:val="16"/>
                <w:color w:val="auto"/>
              </w:rPr>
            </w:pPr>
          </w:p>
        </w:tc>
      </w:tr>
      <w:tr>
        <w:trPr>
          <w:trHeight w:val="221"/>
        </w:trPr>
        <w:tc>
          <w:tcPr>
            <w:tcW w:w="1560" w:type="dxa"/>
            <w:vAlign w:val="bottom"/>
            <w:tcBorders>
              <w:left w:val="single" w:sz="8" w:color="auto"/>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2080" w:type="dxa"/>
            <w:vAlign w:val="bottom"/>
            <w:tcBorders>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540" w:type="dxa"/>
            <w:vAlign w:val="bottom"/>
            <w:tcBorders>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r>
      <w:tr>
        <w:trPr>
          <w:trHeight w:val="208"/>
        </w:trPr>
        <w:tc>
          <w:tcPr>
            <w:tcW w:w="1560" w:type="dxa"/>
            <w:vAlign w:val="bottom"/>
            <w:tcBorders>
              <w:left w:val="single" w:sz="8" w:color="auto"/>
              <w:right w:val="single" w:sz="8" w:color="auto"/>
            </w:tcBorders>
          </w:tcPr>
          <w:p>
            <w:pPr xmlns:w="http://schemas.openxmlformats.org/wordprocessingml/2006/main">
              <w:ind w:left="12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18"/>
                <w:szCs w:val="18"/>
                <w:color w:val="auto"/>
              </w:rPr>
            </w:pPr>
          </w:p>
        </w:tc>
        <w:tc>
          <w:tcPr>
            <w:tcW w:w="2080" w:type="dxa"/>
            <w:vAlign w:val="bottom"/>
            <w:tcBorders>
              <w:right w:val="single" w:sz="8" w:color="auto"/>
            </w:tcBorders>
            <w:gridSpan w:val="4"/>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540" w:type="dxa"/>
            <w:vAlign w:val="bottom"/>
            <w:tcBorders>
              <w:right w:val="single" w:sz="8" w:color="auto"/>
            </w:tcBorders>
          </w:tcPr>
          <w:p>
            <w:pPr xmlns:w="http://schemas.openxmlformats.org/wordprocessingml/2006/main">
              <w:ind w:left="80"/>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r>
      <w:tr>
        <w:trPr>
          <w:trHeight w:val="20"/>
        </w:trPr>
        <w:tc>
          <w:tcPr>
            <w:tcW w:w="1560" w:type="dxa"/>
            <w:vAlign w:val="bottom"/>
            <w:tcBorders>
              <w:left w:val="single" w:sz="8" w:color="auto"/>
              <w:bottom w:val="single" w:sz="8" w:color="auto"/>
              <w:right w:val="single" w:sz="8" w:color="auto"/>
            </w:tcBorders>
          </w:tcPr>
          <w:p>
            <w:pPr>
              <w:spacing w:after="0" w:line="20" w:lineRule="exact"/>
              <w:rPr>
                <w:sz w:val="1"/>
                <w:szCs w:val="1"/>
                <w:color w:val="auto"/>
              </w:rPr>
            </w:pPr>
          </w:p>
        </w:tc>
        <w:tc>
          <w:tcPr>
            <w:tcW w:w="800" w:type="dxa"/>
            <w:vAlign w:val="bottom"/>
            <w:tcBorders>
              <w:bottom w:val="single" w:sz="8" w:color="auto"/>
            </w:tcBorders>
            <w:gridSpan w:val="3"/>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400" w:type="dxa"/>
            <w:vAlign w:val="bottom"/>
            <w:tcBorders>
              <w:bottom w:val="single" w:sz="8" w:color="auto"/>
              <w:right w:val="single" w:sz="8" w:color="auto"/>
            </w:tcBorders>
          </w:tcPr>
          <w:p>
            <w:pPr>
              <w:spacing w:after="0" w:line="20" w:lineRule="exact"/>
              <w:rPr>
                <w:sz w:val="1"/>
                <w:szCs w:val="1"/>
                <w:color w:val="auto"/>
              </w:rPr>
            </w:pPr>
          </w:p>
        </w:tc>
        <w:tc>
          <w:tcPr>
            <w:tcW w:w="1540" w:type="dxa"/>
            <w:vAlign w:val="bottom"/>
            <w:tcBorders>
              <w:bottom w:val="single" w:sz="8" w:color="auto"/>
              <w:right w:val="single" w:sz="8" w:color="auto"/>
            </w:tcBorders>
          </w:tcPr>
          <w:p>
            <w:pPr>
              <w:spacing w:after="0" w:line="20" w:lineRule="exact"/>
              <w:rPr>
                <w:sz w:val="1"/>
                <w:szCs w:val="1"/>
                <w:color w:val="auto"/>
              </w:rPr>
            </w:pPr>
          </w:p>
        </w:tc>
      </w:tr>
      <w:tr>
        <w:trPr>
          <w:trHeight w:val="275"/>
        </w:trPr>
        <w:tc>
          <w:tcPr>
            <w:tcW w:w="3720" w:type="dxa"/>
            <w:vAlign w:val="bottom"/>
            <w:tcBorders>
              <w:left w:val="single" w:sz="8" w:color="auto"/>
              <w:bottom w:val="single" w:sz="8" w:color="auto"/>
              <w:right w:val="single" w:sz="8" w:color="auto"/>
            </w:tcBorders>
            <w:gridSpan w:val="6"/>
            <w:shd w:val="clear" w:color="auto" w:fill="DADADA"/>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540" w:type="dxa"/>
            <w:vAlign w:val="bottom"/>
            <w:tcBorders>
              <w:bottom w:val="single" w:sz="8" w:color="auto"/>
              <w:right w:val="single" w:sz="8" w:color="auto"/>
            </w:tcBorders>
            <w:shd w:val="clear" w:color="auto" w:fill="DADADA"/>
          </w:tcPr>
          <w:p>
            <w:pPr>
              <w:spacing w:after="0"/>
              <w:rPr>
                <w:sz w:val="23"/>
                <w:szCs w:val="23"/>
                <w:color w:val="auto"/>
              </w:rPr>
            </w:pPr>
          </w:p>
        </w:tc>
      </w:tr>
      <w:tr>
        <w:trPr>
          <w:trHeight w:val="290"/>
        </w:trPr>
        <w:tc>
          <w:tcPr>
            <w:tcW w:w="1560" w:type="dxa"/>
            <w:vAlign w:val="bottom"/>
            <w:tcBorders>
              <w:left w:val="single" w:sz="8" w:color="auto"/>
              <w:bottom w:val="single" w:sz="8" w:color="auto"/>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Borders>
              <w:bottom w:val="single" w:sz="8" w:color="auto"/>
            </w:tcBorders>
          </w:tcPr>
          <w:p>
            <w:pPr>
              <w:spacing w:after="0"/>
              <w:rPr>
                <w:sz w:val="24"/>
                <w:szCs w:val="24"/>
                <w:color w:val="auto"/>
              </w:rPr>
            </w:pPr>
          </w:p>
        </w:tc>
        <w:tc>
          <w:tcPr>
            <w:tcW w:w="2080" w:type="dxa"/>
            <w:vAlign w:val="bottom"/>
            <w:tcBorders>
              <w:bottom w:val="single" w:sz="8" w:color="auto"/>
              <w:right w:val="single" w:sz="8" w:color="auto"/>
            </w:tcBorders>
            <w:gridSpan w:val="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540" w:type="dxa"/>
            <w:vAlign w:val="bottom"/>
            <w:tcBorders>
              <w:bottom w:val="single" w:sz="8" w:color="auto"/>
              <w:right w:val="single" w:sz="8" w:color="auto"/>
            </w:tcBorders>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r>
    </w:tbl>
    <w:p>
      <w:pPr>
        <w:spacing w:after="0" w:line="99" w:lineRule="exact"/>
        <w:rPr>
          <w:sz w:val="20"/>
          <w:szCs w:val="20"/>
          <w:color w:val="auto"/>
        </w:rPr>
      </w:pPr>
    </w:p>
    <w:p>
      <w:pPr>
        <w:sectPr>
          <w:pgSz w:w="12240" w:h="15840" w:orient="portrait"/>
          <w:cols w:equalWidth="0" w:num="2">
            <w:col w:w="5280" w:space="180"/>
            <w:col w:w="5240"/>
          </w:cols>
          <w:pgMar w:left="860" w:top="774" w:right="680" w:bottom="405" w:gutter="0" w:footer="0" w:header="0"/>
          <w:type w:val="continuous"/>
        </w:sectPr>
      </w:pPr>
    </w:p>
    <w:p>
      <w:pPr xmlns:w="http://schemas.openxmlformats.org/wordprocessingml/2006/main">
        <w:ind w:left="220" w:right="3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transactiekosten en margevereisten die de winst of het verlies aanzienlijk kunnen beïnvloeden.</w:t>
      </w:r>
      <w:r>
        <w:rPr xmlns:w="http://schemas.openxmlformats.org/wordprocessingml/2006/main">
          <w:rFonts w:ascii="Calibri" w:cs="Calibri" w:eastAsia="Calibri" w:hAnsi="Calibri"/>
          <w:sz w:val="22"/>
          <w:szCs w:val="22"/>
          <w:color w:val="auto"/>
        </w:rPr>
        <w:t xml:space="preserve"> Transactiekosten bestaan voornamelijk uit commissies, maar kunnen ook marge- en rentekosten omvatten.</w:t>
      </w:r>
      <w:r>
        <w:rPr xmlns:w="http://schemas.openxmlformats.org/wordprocessingml/2006/main">
          <w:rFonts w:ascii="Calibri" w:cs="Calibri" w:eastAsia="Calibri" w:hAnsi="Calibri"/>
          <w:sz w:val="22"/>
          <w:szCs w:val="22"/>
          <w:color w:val="auto"/>
        </w:rPr>
        <w:t xml:space="preserve"> Als een belegger een termijncontract voor grondstoffen liquideert, kan hij extra kosten maken.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Beleggers zijn als enige verantwoordelijk voor het bepalen of en wanneer zij een termijnpositie in een grondstof moeten sluiten of een positie moeten aanhouden tot de vervaldatum ervan.</w:t>
      </w:r>
      <w:r>
        <w:rPr xmlns:w="http://schemas.openxmlformats.org/wordprocessingml/2006/main">
          <w:rFonts w:ascii="Calibri" w:cs="Calibri" w:eastAsia="Calibri" w:hAnsi="Calibri"/>
          <w:sz w:val="22"/>
          <w:szCs w:val="22"/>
          <w:color w:val="auto"/>
        </w:rPr>
        <w:t xml:space="preserve"> Beleggers die een termijnpositie in grondstoffen sluiten, zien af van enige latere winst of verlies die met de positie verband houdt.</w:t>
      </w:r>
      <w:r>
        <w:rPr xmlns:w="http://schemas.openxmlformats.org/wordprocessingml/2006/main">
          <w:rFonts w:ascii="Calibri" w:cs="Calibri" w:eastAsia="Calibri" w:hAnsi="Calibri"/>
          <w:sz w:val="22"/>
          <w:szCs w:val="22"/>
          <w:color w:val="auto"/>
        </w:rPr>
        <w:t xml:space="preserve"> Alle futures op grondstoffen hebben een vervaldatum, waarna het contract ophoudt te bestaan.</w:t>
      </w:r>
      <w:r>
        <w:rPr xmlns:w="http://schemas.openxmlformats.org/wordprocessingml/2006/main">
          <w:rFonts w:ascii="Calibri" w:cs="Calibri" w:eastAsia="Calibri" w:hAnsi="Calibri"/>
          <w:sz w:val="22"/>
          <w:szCs w:val="22"/>
          <w:color w:val="auto"/>
        </w:rPr>
        <w:t xml:space="preserve"> Een belegger kan een open positie in een termijncontract voor grondstoffen sluiten door een compensatietransactie aan te gaan voorafgaand aan de looptijd van het contract.</w:t>
      </w:r>
    </w:p>
    <w:p>
      <w:pPr>
        <w:spacing w:after="0" w:line="81" w:lineRule="exact"/>
        <w:rPr>
          <w:sz w:val="20"/>
          <w:szCs w:val="20"/>
          <w:color w:val="auto"/>
        </w:rPr>
      </w:pPr>
    </w:p>
    <w:p>
      <w:pPr xmlns:w="http://schemas.openxmlformats.org/wordprocessingml/2006/main">
        <w:ind w:left="220" w:right="92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5"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tab xmlns:w="http://schemas.openxmlformats.org/wordprocessingml/2006/main"/>
      </w:r>
      <w:r>
        <w:rPr xmlns:w="http://schemas.openxmlformats.org/wordprocessingml/2006/main">
          <w:rFonts w:ascii="Calibri" w:cs="Calibri" w:eastAsia="Calibri" w:hAnsi="Calibri"/>
          <w:sz w:val="19"/>
          <w:szCs w:val="19"/>
          <w:color w:val="auto"/>
        </w:rPr>
        <w:t xml:space="preserve">VS</w:t>
      </w:r>
      <w:r>
        <w:rPr xmlns:w="http://schemas.openxmlformats.org/wordprocessingml/2006/main">
          <w:rFonts w:ascii="Calibri" w:cs="Calibri" w:eastAsia="Calibri" w:hAnsi="Calibri"/>
          <w:sz w:val="19"/>
          <w:szCs w:val="19"/>
          <w:color w:val="auto"/>
        </w:rPr>
        <w:t xml:space="preserve"> Commodity Futures Trading Commission</w:t>
      </w: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tab xmlns:w="http://schemas.openxmlformats.org/wordprocessingml/2006/main"/>
      </w:r>
      <w:r>
        <w:rPr xmlns:w="http://schemas.openxmlformats.org/wordprocessingml/2006/main">
          <w:rFonts w:ascii="Calibri" w:cs="Calibri" w:eastAsia="Calibri" w:hAnsi="Calibri"/>
          <w:sz w:val="19"/>
          <w:szCs w:val="19"/>
          <w:color w:val="auto"/>
        </w:rPr>
        <w:t xml:space="preserve">Activiteiten in de omgeving van Three Lafayette Center</w:t>
      </w:r>
    </w:p>
    <w:p>
      <w:pPr>
        <w:spacing w:after="0" w:line="1"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Chicago, IL 60606-6615</w:t>
        <w:tab xmlns:w="http://schemas.openxmlformats.org/wordprocessingml/2006/main"/>
      </w:r>
      <w:r>
        <w:rPr xmlns:w="http://schemas.openxmlformats.org/wordprocessingml/2006/main">
          <w:rFonts w:ascii="Calibri" w:cs="Calibri" w:eastAsia="Calibri" w:hAnsi="Calibri"/>
          <w:sz w:val="19"/>
          <w:szCs w:val="19"/>
          <w:color w:val="auto"/>
        </w:rPr>
        <w:t xml:space="preserve">1155 21st Street, NW</w:t>
      </w:r>
    </w:p>
    <w:p>
      <w:pPr>
        <w:spacing w:after="0" w:line="1"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Telefoon: 312-781-1300</w:t>
        <w:tab xmlns:w="http://schemas.openxmlformats.org/wordprocessingml/2006/main"/>
      </w:r>
      <w:r>
        <w:rPr xmlns:w="http://schemas.openxmlformats.org/wordprocessingml/2006/main">
          <w:rFonts w:ascii="Calibri" w:cs="Calibri" w:eastAsia="Calibri" w:hAnsi="Calibri"/>
          <w:sz w:val="19"/>
          <w:szCs w:val="19"/>
          <w:color w:val="auto"/>
        </w:rPr>
        <w:t xml:space="preserve">Washington, DC 20581</w:t>
      </w:r>
    </w:p>
    <w:p>
      <w:pPr>
        <w:spacing w:after="0" w:line="1" w:lineRule="exact"/>
        <w:rPr>
          <w:sz w:val="20"/>
          <w:szCs w:val="20"/>
          <w:color w:val="auto"/>
        </w:rPr>
      </w:pPr>
    </w:p>
    <w:p>
      <w:pPr xmlns:w="http://schemas.openxmlformats.org/wordprocessingml/2006/main">
        <w:ind w:left="340"/>
        <w:spacing w:after="0"/>
        <w:tabs>
          <w:tab w:leader="none" w:pos="4780" w:val="left"/>
        </w:tabs>
        <w:rPr>
          <w:sz w:val="20"/>
          <w:szCs w:val="20"/>
          <w:color w:val="auto"/>
        </w:rPr>
      </w:pPr>
      <w:r>
        <w:rPr xmlns:w="http://schemas.openxmlformats.org/wordprocessingml/2006/main">
          <w:rFonts w:ascii="Calibri" w:cs="Calibri" w:eastAsia="Calibri" w:hAnsi="Calibri"/>
          <w:sz w:val="20"/>
          <w:szCs w:val="20"/>
          <w:color w:val="auto"/>
        </w:rPr>
        <w:t xml:space="preserve">Fax: 312 781 1467</w:t>
        <w:tab xmlns:w="http://schemas.openxmlformats.org/wordprocessingml/2006/main"/>
      </w:r>
      <w:r>
        <w:rPr xmlns:w="http://schemas.openxmlformats.org/wordprocessingml/2006/main">
          <w:rFonts w:ascii="Calibri" w:cs="Calibri" w:eastAsia="Calibri" w:hAnsi="Calibri"/>
          <w:sz w:val="19"/>
          <w:szCs w:val="19"/>
          <w:color w:val="auto"/>
        </w:rPr>
        <w:t xml:space="preserve">Telefoon: 866-366-2382 Fax: 202-418-5521</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14605</wp:posOffset>
                </wp:positionV>
                <wp:extent cx="678942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894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15pt" to="540.4pt,1.15pt" o:allowincell="f" strokecolor="#000000" strokeweight="0.4799pt"/>
            </w:pict>
          </mc:Fallback>
        </mc:AlternateContent>
      </w:r>
    </w:p>
    <w:p>
      <w:pPr>
        <w:sectPr>
          <w:pgSz w:w="12240" w:h="15840" w:orient="portrait"/>
          <w:cols w:equalWidth="0" w:num="1">
            <w:col w:w="10700"/>
          </w:cols>
          <w:pgMar w:left="860" w:top="774" w:right="680" w:bottom="405" w:gutter="0" w:footer="0" w:header="0"/>
          <w:type w:val="continuous"/>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700"/>
      </w:cols>
      <w:pgMar w:left="860" w:top="774" w:right="680" w:bottom="405"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53340FF"/>
    <w:multiLevelType w:val="hybridMultilevel"/>
    <w:lvl w:ilvl="0">
      <w:lvlJc w:val="left"/>
      <w:lvlText w:val="·"/>
      <w:numFmt w:val="bullet"/>
      <w:start w:val="1"/>
    </w:lvl>
  </w:abstractNum>
  <w:abstractNum w:abstractNumId="1">
    <w:nsid w:val="6239B2A9"/>
    <w:multiLevelType w:val="hybridMultilevel"/>
    <w:lvl w:ilvl="0">
      <w:lvlJc w:val="left"/>
      <w:lvlText w:val="·"/>
      <w:numFmt w:val="bullet"/>
      <w:start w:val="1"/>
    </w:lvl>
  </w:abstractNum>
  <w:abstractNum w:abstractNumId="2">
    <w:nsid w:val="28E19954"/>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2024-06-24T10:12:02Z</dcterms:created>
  <dcterms:modified xsi:type="dcterms:W3CDTF">2024-06-24T10:12:02Z</dcterms:modified>
</cp:coreProperties>
</file>