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73.35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73.35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73.35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73.35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3320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3320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gestandaardiseerde indexopties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indexopties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indexopties (a / k / a "beursgenoteerde opties").</w:t>
      </w:r>
      <w:r>
        <w:rPr xmlns:w="http://schemas.openxmlformats.org/wordprocessingml/2006/main">
          <w:rFonts w:ascii="Calibri" w:cs="Calibri" w:eastAsia="Calibri" w:hAnsi="Calibri"/>
          <w:sz w:val="22"/>
          <w:szCs w:val="22"/>
          <w:color w:val="auto"/>
        </w:rPr>
        <w:t xml:space="preserve"> Standaardindexopties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indexopties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6801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68010"/>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6.3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67" w:lineRule="exact"/>
        <w:rPr>
          <w:sz w:val="24"/>
          <w:szCs w:val="24"/>
          <w:color w:val="auto"/>
        </w:rPr>
      </w:pPr>
    </w:p>
    <w:p>
      <w:pPr xmlns:w="http://schemas.openxmlformats.org/wordprocessingml/2006/main">
        <w:ind w:right="2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indexoptie is het recht om een bepaalde waarde van een bepaalde onderliggende index te kopen of verkopen tegen een vaste prijs ("uitoefenprijs") door de optie uit te oefenen vóór de opgegeven vervaldatum.</w:t>
      </w:r>
      <w:r>
        <w:rPr xmlns:w="http://schemas.openxmlformats.org/wordprocessingml/2006/main">
          <w:rFonts w:ascii="Calibri" w:cs="Calibri" w:eastAsia="Calibri" w:hAnsi="Calibri"/>
          <w:sz w:val="22"/>
          <w:szCs w:val="22"/>
          <w:color w:val="auto"/>
        </w:rPr>
        <w:t xml:space="preserve"> Een index is een maatstaf voor de koersen of andere eigenschappen van een groep effecten of ander onderliggend belang.</w:t>
      </w:r>
      <w:r>
        <w:rPr xmlns:w="http://schemas.openxmlformats.org/wordprocessingml/2006/main">
          <w:rFonts w:ascii="Calibri" w:cs="Calibri" w:eastAsia="Calibri" w:hAnsi="Calibri"/>
          <w:sz w:val="22"/>
          <w:szCs w:val="22"/>
          <w:color w:val="auto"/>
        </w:rPr>
        <w:t xml:space="preserve"> Een index kan bijvoorbeeld zo zijn ontworpen dat deze representatief is voor de prijzen van een groep effecten met een aandelenkarakter of om de voorspelde volatiliteit van een index te meten.</w:t>
      </w:r>
      <w:r>
        <w:rPr xmlns:w="http://schemas.openxmlformats.org/wordprocessingml/2006/main">
          <w:rFonts w:ascii="Calibri" w:cs="Calibri" w:eastAsia="Calibri" w:hAnsi="Calibri"/>
          <w:sz w:val="22"/>
          <w:szCs w:val="22"/>
          <w:color w:val="auto"/>
        </w:rPr>
        <w:t xml:space="preserve"> Indexen variëren in de manier waarop ze worden berekend.</w:t>
      </w:r>
      <w:r>
        <w:rPr xmlns:w="http://schemas.openxmlformats.org/wordprocessingml/2006/main">
          <w:rFonts w:ascii="Calibri" w:cs="Calibri" w:eastAsia="Calibri" w:hAnsi="Calibri"/>
          <w:sz w:val="22"/>
          <w:szCs w:val="22"/>
          <w:color w:val="auto"/>
        </w:rPr>
        <w:t xml:space="preserve"> Omdat een index een weergave is van de waarden of andere kenmerken van een groep effecten of andere belangen, kan de aankoop (of verkoop) van een gestandaardiseerde indexoptie worden begrepen als een recht om een waarde te kopen (of te verkopen) die verandert naarmate de waarde van de onderliggende index verandert.</w:t>
      </w:r>
      <w:r>
        <w:rPr xmlns:w="http://schemas.openxmlformats.org/wordprocessingml/2006/main">
          <w:rFonts w:ascii="Calibri" w:cs="Calibri" w:eastAsia="Calibri" w:hAnsi="Calibri"/>
          <w:sz w:val="22"/>
          <w:szCs w:val="22"/>
          <w:color w:val="auto"/>
        </w:rPr>
        <w:t xml:space="preserve"> De blootstelling aan de onderliggende index is indirect omdat de waarde van de optie wordt afgeleid van de waarde van de onderliggende index.</w:t>
      </w:r>
      <w:r>
        <w:rPr xmlns:w="http://schemas.openxmlformats.org/wordprocessingml/2006/main">
          <w:rFonts w:ascii="Calibri" w:cs="Calibri" w:eastAsia="Calibri" w:hAnsi="Calibri"/>
          <w:sz w:val="22"/>
          <w:szCs w:val="22"/>
          <w:color w:val="auto"/>
        </w:rPr>
        <w:t xml:space="preserve"> De vervaldatums voor indexopties variëren.</w:t>
      </w:r>
      <w:r>
        <w:rPr xmlns:w="http://schemas.openxmlformats.org/wordprocessingml/2006/main">
          <w:rFonts w:ascii="Calibri" w:cs="Calibri" w:eastAsia="Calibri" w:hAnsi="Calibri"/>
          <w:sz w:val="22"/>
          <w:szCs w:val="22"/>
          <w:color w:val="auto"/>
        </w:rPr>
        <w:t xml:space="preserve"> OCC mag de optie niet eenzijdig beëindigen.</w:t>
      </w:r>
    </w:p>
    <w:p>
      <w:pPr>
        <w:spacing w:after="0" w:line="70" w:lineRule="exact"/>
        <w:rPr>
          <w:sz w:val="24"/>
          <w:szCs w:val="24"/>
          <w:color w:val="auto"/>
        </w:rPr>
      </w:pPr>
    </w:p>
    <w:p>
      <w:pPr xmlns:w="http://schemas.openxmlformats.org/wordprocessingml/2006/main">
        <w:ind w:right="1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Bepaalde gevallen, zoals een wijziging in de samenstelling of berekening van de index, kunnen resulteren in een wijziging van de voorwaarden van de optie volgens de regels van OCC, die kunnen verschillen van de methodologie in Europese optiemarkten.</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Standaardindexopties worden in contanten afgewikkeld.</w:t>
      </w:r>
      <w:r>
        <w:rPr xmlns:w="http://schemas.openxmlformats.org/wordprocessingml/2006/main">
          <w:rFonts w:ascii="Calibri" w:cs="Calibri" w:eastAsia="Calibri" w:hAnsi="Calibri"/>
          <w:sz w:val="22"/>
          <w:szCs w:val="22"/>
          <w:color w:val="auto"/>
        </w:rPr>
        <w:t xml:space="preserve"> De houder (koper) heeft het recht om een contante betaling van de optieschrijver (verkoper) te ontvangen als de vastgestelde waarde van de onderliggende index op het moment van uitoefening ("afwikkelingswaarde van de uitoefening") hoger is dan (call) of lager is dan (put) de uitoefenprijs.</w:t>
      </w:r>
      <w:r>
        <w:rPr xmlns:w="http://schemas.openxmlformats.org/wordprocessingml/2006/main">
          <w:rFonts w:ascii="Calibri" w:cs="Calibri" w:eastAsia="Calibri" w:hAnsi="Calibri"/>
          <w:sz w:val="22"/>
          <w:szCs w:val="22"/>
          <w:color w:val="auto"/>
        </w:rPr>
        <w:t xml:space="preserve"> Het kopen van de optie geeft de houder niet het recht om de effecten of andere waarden in de index te kopen en verplicht de schrijver niet om ze te verkopen.</w:t>
      </w:r>
      <w:r>
        <w:rPr xmlns:w="http://schemas.openxmlformats.org/wordprocessingml/2006/main">
          <w:rFonts w:ascii="Calibri" w:cs="Calibri" w:eastAsia="Calibri" w:hAnsi="Calibri"/>
          <w:sz w:val="22"/>
          <w:szCs w:val="22"/>
          <w:color w:val="auto"/>
        </w:rPr>
        <w:t xml:space="preserve"> De optiehouder is de persoon die het door de optie overgedragen recht koopt en de schrijver een niet-terugbetaalbare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toegewezen krijgt – om te presteren volgens de voorwaarden om het "bedrag van de uitoefenovereenkomst" aan de optiehouder te betalen, dat wordt berekend als het verschil tussen de uitoefenprijs en de afwikkelingswaarde van de exercitie.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Een call-optie geeft de houder het recht om bij uitoefening deel te nemen aan winsten in de waarde van de index boven de uitoefenprijs, en een put geeft de houder het recht om bij uitoefening deel te nemen aan dalingen in de waarde van de index onder de uitoefenprijs.</w:t>
      </w:r>
      <w:r>
        <w:rPr xmlns:w="http://schemas.openxmlformats.org/wordprocessingml/2006/main">
          <w:rFonts w:ascii="Calibri" w:cs="Calibri" w:eastAsia="Calibri" w:hAnsi="Calibri"/>
          <w:sz w:val="22"/>
          <w:szCs w:val="22"/>
          <w:color w:val="auto"/>
        </w:rPr>
        <w:t xml:space="preserve"> Factoren die de waarde van een optie beïnvloeden, zijn onder meer de uitoefenprijs, de tijd tot het verstrijken en de waarde van de onderliggende index en zijn gevoeligheid voor prijsschommelingen (volatiliteit).</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67" w:lineRule="exact"/>
        <w:rPr>
          <w:sz w:val="24"/>
          <w:szCs w:val="24"/>
          <w:color w:val="auto"/>
        </w:rPr>
      </w:pPr>
    </w:p>
    <w:p>
      <w:pPr xmlns:w="http://schemas.openxmlformats.org/wordprocessingml/2006/main">
        <w:ind w:right="140"/>
        <w:spacing w:after="0" w:line="209"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grondige kennis hebben van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400"/>
          </w:cols>
          <w:pgMar w:left="940" w:top="699" w:right="900" w:bottom="207" w:gutter="0" w:footer="0" w:header="0"/>
        </w:sectPr>
      </w:pPr>
    </w:p>
    <w:bookmarkStart w:id="1" w:name="page2"/>
    <w:bookmarkEnd w:id="1"/>
    <w:p>
      <w:pPr xmlns:w="http://schemas.openxmlformats.org/wordprocessingml/2006/main">
        <w:ind w:right="3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6.5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5416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4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5416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4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het product en kan de potentiële verliezen die ermee samenhangen en de daarmee samenhangende beleggingsstrategie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optieschrijver kan worden verplicht om de verplichting tot betaling van het bedrag van de afwikkeling uit te voeren op elk moment dat de optie vanwege zijn stijl uitoefenbaar is.</w:t>
      </w:r>
      <w:r>
        <w:rPr xmlns:w="http://schemas.openxmlformats.org/wordprocessingml/2006/main">
          <w:rFonts w:ascii="Calibri" w:cs="Calibri" w:eastAsia="Calibri" w:hAnsi="Calibri"/>
          <w:sz w:val="22"/>
          <w:szCs w:val="22"/>
          <w:color w:val="auto"/>
        </w:rPr>
        <w:t xml:space="preserve"> Een call optie schrijver draagt het risico van potentieel onbeperkt verlies als de prijs van de onderliggende index stijgt.</w:t>
      </w:r>
      <w:r>
        <w:rPr xmlns:w="http://schemas.openxmlformats.org/wordprocessingml/2006/main">
          <w:rFonts w:ascii="Calibri" w:cs="Calibri" w:eastAsia="Calibri" w:hAnsi="Calibri"/>
          <w:sz w:val="22"/>
          <w:szCs w:val="22"/>
          <w:color w:val="auto"/>
        </w:rPr>
        <w:t xml:space="preserve"> Een put option writer draagt het risico van een verlies gelijk aan het verschil tussen de put uitoefenprijs en nul als de prijs van de onderliggende index daalt tot nul.</w:t>
      </w:r>
    </w:p>
    <w:p>
      <w:pPr>
        <w:spacing w:after="0" w:line="80" w:lineRule="exact"/>
        <w:rPr>
          <w:rFonts w:ascii="Symbol" w:cs="Symbol" w:eastAsia="Symbol" w:hAnsi="Symbol"/>
          <w:sz w:val="22"/>
          <w:szCs w:val="22"/>
          <w:color w:val="auto"/>
        </w:rPr>
      </w:pPr>
    </w:p>
    <w:p>
      <w:pPr xmlns:w="http://schemas.openxmlformats.org/wordprocessingml/2006/main">
        <w:ind w:left="220" w:right="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met de waarde van de onderliggende index behouden.</w:t>
      </w:r>
    </w:p>
    <w:p>
      <w:pPr>
        <w:spacing w:after="0" w:line="79" w:lineRule="exact"/>
        <w:rPr>
          <w:rFonts w:ascii="Symbol" w:cs="Symbol" w:eastAsia="Symbol" w:hAnsi="Symbol"/>
          <w:sz w:val="22"/>
          <w:szCs w:val="22"/>
          <w:color w:val="auto"/>
        </w:rPr>
      </w:pPr>
    </w:p>
    <w:p>
      <w:pPr xmlns:w="http://schemas.openxmlformats.org/wordprocessingml/2006/main">
        <w:ind w:left="220" w:right="18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aandeleneffect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100" w:hanging="214"/>
        <w:spacing w:after="0" w:line="210" w:lineRule="auto"/>
        <w:tabs>
          <w:tab w:leader="none" w:pos="220" w:val="left"/>
        </w:tabs>
        <w:numPr>
          <w:ilvl w:val="0"/>
          <w:numId w:val="1"/>
        </w:numPr>
        <w:rPr>
          <w:rFonts w:ascii="Symbol" w:cs="Symbol" w:eastAsia="Symbol" w:hAnsi="Symbol"/>
          <w:sz w:val="21"/>
          <w:szCs w:val="21"/>
          <w:color w:val="auto"/>
        </w:rPr>
      </w:pPr>
      <w:r>
        <w:rPr xmlns:w="http://schemas.openxmlformats.org/wordprocessingml/2006/main">
          <w:rFonts w:ascii="Calibri" w:cs="Calibri" w:eastAsia="Calibri" w:hAnsi="Calibri"/>
          <w:sz w:val="21"/>
          <w:szCs w:val="21"/>
          <w:b w:val="1"/>
          <w:bCs w:val="1"/>
          <w:color w:val="auto"/>
        </w:rPr>
        <w:t xml:space="preserve">Wees je bewust van het valutarisico.</w:t>
      </w:r>
      <w:r>
        <w:rPr xmlns:w="http://schemas.openxmlformats.org/wordprocessingml/2006/main">
          <w:rFonts w:ascii="Calibri" w:cs="Calibri" w:eastAsia="Calibri" w:hAnsi="Calibri"/>
          <w:sz w:val="21"/>
          <w:szCs w:val="21"/>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1"/>
          <w:szCs w:val="21"/>
          <w:b w:val="1"/>
          <w:bCs w:val="1"/>
          <w:color w:val="auto"/>
        </w:rPr>
        <w:t xml:space="preserve"> Dit risico is</w:t>
      </w:r>
    </w:p>
    <w:p>
      <w:pPr>
        <w:spacing w:after="0" w:line="2"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niet in aanmerking genomen in de bovenstaande indicator.</w:t>
      </w:r>
    </w:p>
    <w:p>
      <w:pPr>
        <w:spacing w:after="0" w:line="67" w:lineRule="exact"/>
        <w:rPr>
          <w:sz w:val="20"/>
          <w:szCs w:val="20"/>
          <w:color w:val="auto"/>
        </w:rPr>
      </w:pPr>
    </w:p>
    <w:p>
      <w:pPr xmlns:w="http://schemas.openxmlformats.org/wordprocessingml/2006/main">
        <w:ind w:right="2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6151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961515"/>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6151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961515"/>
                    </a:xfrm>
                    <a:prstGeom prst="rect">
                      <a:avLst/>
                    </a:prstGeom>
                    <a:noFill/>
                  </pic:spPr>
                </pic:pic>
              </a:graphicData>
            </a:graphic>
          </wp:anchor>
        </w:drawing>
      </w:r>
    </w:p>
    <w:p>
      <w:pPr>
        <w:sectPr>
          <w:pgSz w:w="12240" w:h="15840" w:orient="portrait"/>
          <w:cols w:equalWidth="0" w:num="1">
            <w:col w:w="10380"/>
          </w:cols>
          <w:pgMar w:left="940" w:top="774" w:right="920" w:bottom="176" w:gutter="0" w:footer="0" w:header="0"/>
        </w:sectPr>
      </w:pPr>
    </w:p>
    <w:p>
      <w:pPr>
        <w:spacing w:after="0" w:line="175" w:lineRule="exact"/>
        <w:rPr>
          <w:sz w:val="20"/>
          <w:szCs w:val="20"/>
          <w:color w:val="auto"/>
        </w:rPr>
      </w:pPr>
    </w:p>
    <w:p>
      <w:pPr xmlns:w="http://schemas.openxmlformats.org/wordprocessingml/2006/main">
        <w:jc w:val="center"/>
        <w:ind w:left="36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schrijven van een index put (Premium $ 500; Oefenprijs $ 45)</w:t>
      </w:r>
    </w:p>
    <w:p>
      <w:pPr>
        <w:spacing w:after="0" w:line="139" w:lineRule="exact"/>
        <w:rPr>
          <w:sz w:val="20"/>
          <w:szCs w:val="20"/>
          <w:color w:val="auto"/>
        </w:rPr>
      </w:pPr>
    </w:p>
    <w:tbl>
      <w:tblPr>
        <w:tblLayout w:type="fixed"/>
        <w:tblInd w:w="440" w:type="dxa"/>
        <w:tblCellMar>
          <w:top w:w="0" w:type="dxa"/>
          <w:left w:w="0" w:type="dxa"/>
          <w:bottom w:w="0" w:type="dxa"/>
          <w:right w:w="0" w:type="dxa"/>
        </w:tblCellMar>
      </w:tblPr>
      <w:tr>
        <w:trPr>
          <w:trHeight w:val="220"/>
        </w:trPr>
        <w:tc>
          <w:tcPr>
            <w:tcW w:w="160" w:type="dxa"/>
            <w:vAlign w:val="bottom"/>
          </w:tcPr>
          <w:p>
            <w:pPr>
              <w:spacing w:after="0"/>
              <w:rPr>
                <w:sz w:val="19"/>
                <w:szCs w:val="19"/>
                <w:color w:val="auto"/>
              </w:rPr>
            </w:pPr>
          </w:p>
        </w:tc>
        <w:tc>
          <w:tcPr>
            <w:tcW w:w="1200" w:type="dxa"/>
            <w:vAlign w:val="bottom"/>
            <w:gridSpan w:val="2"/>
          </w:tcPr>
          <w:p>
            <w:pPr xmlns:w="http://schemas.openxmlformats.org/wordprocessingml/2006/main">
              <w:jc w:val="right"/>
              <w:ind w:right="32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92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90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90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880" w:type="dxa"/>
            <w:vAlign w:val="bottom"/>
            <w:gridSpan w:val="2"/>
          </w:tcPr>
          <w:p>
            <w:pPr xmlns:w="http://schemas.openxmlformats.org/wordprocessingml/2006/main">
              <w:jc w:val="right"/>
              <w:ind w:right="280"/>
              <w:spacing w:after="0"/>
              <w:rPr>
                <w:sz w:val="20"/>
                <w:szCs w:val="20"/>
                <w:color w:val="auto"/>
              </w:rPr>
            </w:pPr>
            <w:r>
              <w:rPr xmlns:w="http://schemas.openxmlformats.org/wordprocessingml/2006/main">
                <w:rFonts w:ascii="Calibri" w:cs="Calibri" w:eastAsia="Calibri" w:hAnsi="Calibri"/>
                <w:sz w:val="18"/>
                <w:szCs w:val="18"/>
                <w:color w:val="595959"/>
              </w:rPr>
              <w:t xml:space="preserve">$ 80</w:t>
            </w:r>
          </w:p>
        </w:tc>
        <w:tc>
          <w:tcPr>
            <w:tcW w:w="66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$ 100</w:t>
            </w:r>
          </w:p>
        </w:tc>
        <w:tc>
          <w:tcPr>
            <w:tcW w:w="0" w:type="dxa"/>
            <w:vAlign w:val="bottom"/>
          </w:tcPr>
          <w:p>
            <w:pPr>
              <w:spacing w:after="0"/>
              <w:rPr>
                <w:sz w:val="1"/>
                <w:szCs w:val="1"/>
                <w:color w:val="auto"/>
              </w:rPr>
            </w:pPr>
          </w:p>
        </w:tc>
      </w:tr>
      <w:tr>
        <w:trPr>
          <w:trHeight w:val="220"/>
        </w:trPr>
        <w:tc>
          <w:tcPr>
            <w:tcW w:w="160" w:type="dxa"/>
            <w:vAlign w:val="bottom"/>
          </w:tcPr>
          <w:p>
            <w:pPr>
              <w:spacing w:after="0"/>
              <w:rPr>
                <w:sz w:val="18"/>
                <w:szCs w:val="18"/>
                <w:color w:val="auto"/>
              </w:rPr>
            </w:pPr>
          </w:p>
        </w:tc>
        <w:tc>
          <w:tcPr>
            <w:tcW w:w="780" w:type="dxa"/>
            <w:vAlign w:val="bottom"/>
          </w:tcPr>
          <w:p>
            <w:pPr xmlns:w="http://schemas.openxmlformats.org/wordprocessingml/2006/main">
              <w:jc w:val="right"/>
              <w:ind w:right="70"/>
              <w:spacing w:after="0" w:line="216" w:lineRule="exact"/>
              <w:rPr>
                <w:sz w:val="20"/>
                <w:szCs w:val="20"/>
                <w:color w:val="auto"/>
              </w:rPr>
            </w:pPr>
            <w:r>
              <w:rPr xmlns:w="http://schemas.openxmlformats.org/wordprocessingml/2006/main">
                <w:rFonts w:ascii="Calibri" w:cs="Calibri" w:eastAsia="Calibri" w:hAnsi="Calibri"/>
                <w:sz w:val="18"/>
                <w:szCs w:val="18"/>
                <w:color w:val="595959"/>
              </w:rPr>
              <w:t xml:space="preserve">USD 1.000</w:t>
            </w:r>
          </w:p>
        </w:tc>
        <w:tc>
          <w:tcPr>
            <w:tcW w:w="42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60" w:type="dxa"/>
            <w:vAlign w:val="bottom"/>
            <w:tcBorders>
              <w:bottom w:val="single" w:sz="8" w:color="D9D9D9"/>
            </w:tcBorders>
          </w:tcPr>
          <w:p>
            <w:pPr>
              <w:spacing w:after="0"/>
              <w:rPr>
                <w:sz w:val="18"/>
                <w:szCs w:val="18"/>
                <w:color w:val="auto"/>
              </w:rPr>
            </w:pPr>
          </w:p>
        </w:tc>
        <w:tc>
          <w:tcPr>
            <w:tcW w:w="440" w:type="dxa"/>
            <w:vAlign w:val="bottom"/>
            <w:tcBorders>
              <w:bottom w:val="single" w:sz="8" w:color="D9D9D9"/>
            </w:tcBorders>
          </w:tcPr>
          <w:p>
            <w:pPr>
              <w:spacing w:after="0"/>
              <w:rPr>
                <w:sz w:val="18"/>
                <w:szCs w:val="18"/>
                <w:color w:val="auto"/>
              </w:rPr>
            </w:pPr>
          </w:p>
        </w:tc>
        <w:tc>
          <w:tcPr>
            <w:tcW w:w="46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7"/>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420" w:type="dxa"/>
            <w:vAlign w:val="bottom"/>
            <w:tcBorders>
              <w:top w:val="single" w:sz="8" w:color="D9D9D9"/>
              <w:left w:val="single" w:sz="8" w:color="BFBFBF"/>
              <w:bottom w:val="single" w:sz="8" w:color="BFBFBF"/>
            </w:tcBorders>
          </w:tcPr>
          <w:p>
            <w:pPr>
              <w:spacing w:after="0"/>
              <w:rPr>
                <w:sz w:val="24"/>
                <w:szCs w:val="24"/>
                <w:color w:val="auto"/>
              </w:rPr>
            </w:pPr>
          </w:p>
        </w:tc>
        <w:tc>
          <w:tcPr>
            <w:tcW w:w="50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8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60" w:type="dxa"/>
            <w:vAlign w:val="bottom"/>
            <w:tcBorders>
              <w:top w:val="single" w:sz="8" w:color="D9D9D9"/>
              <w:bottom w:val="single" w:sz="8" w:color="BFBFBF"/>
              <w:right w:val="single" w:sz="8" w:color="D9D9D9"/>
            </w:tcBorders>
          </w:tcPr>
          <w:p>
            <w:pPr>
              <w:spacing w:after="0"/>
              <w:rPr>
                <w:sz w:val="24"/>
                <w:szCs w:val="24"/>
                <w:color w:val="auto"/>
              </w:rPr>
            </w:pPr>
          </w:p>
        </w:tc>
        <w:tc>
          <w:tcPr>
            <w:tcW w:w="440" w:type="dxa"/>
            <w:vAlign w:val="bottom"/>
            <w:tcBorders>
              <w:top w:val="single" w:sz="8" w:color="D9D9D9"/>
              <w:bottom w:val="single" w:sz="8" w:color="BFBFBF"/>
            </w:tcBorders>
          </w:tcPr>
          <w:p>
            <w:pPr>
              <w:spacing w:after="0"/>
              <w:rPr>
                <w:sz w:val="24"/>
                <w:szCs w:val="24"/>
                <w:color w:val="auto"/>
              </w:rPr>
            </w:pPr>
          </w:p>
        </w:tc>
        <w:tc>
          <w:tcPr>
            <w:tcW w:w="46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80" w:type="dxa"/>
            <w:vAlign w:val="bottom"/>
            <w:tcBorders>
              <w:top w:val="single" w:sz="8" w:color="D9D9D9"/>
              <w:bottom w:val="single" w:sz="8" w:color="BFBFBF"/>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87"/>
        </w:trPr>
        <w:tc>
          <w:tcPr>
            <w:tcW w:w="160" w:type="dxa"/>
            <w:vAlign w:val="bottom"/>
            <w:vMerge w:val="continue"/>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-$ 1.000</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89"/>
        </w:trPr>
        <w:tc>
          <w:tcPr>
            <w:tcW w:w="160" w:type="dxa"/>
            <w:vAlign w:val="bottom"/>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-$ 2.000</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12"/>
        </w:trPr>
        <w:tc>
          <w:tcPr>
            <w:tcW w:w="160" w:type="dxa"/>
            <w:vAlign w:val="bottom"/>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-$ 3.000</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1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50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8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60" w:type="dxa"/>
            <w:vAlign w:val="bottom"/>
            <w:tcBorders>
              <w:top w:val="single" w:sz="8" w:color="D9D9D9"/>
            </w:tcBorders>
          </w:tcPr>
          <w:p>
            <w:pPr>
              <w:spacing w:after="0"/>
              <w:rPr>
                <w:sz w:val="2"/>
                <w:szCs w:val="2"/>
                <w:color w:val="auto"/>
              </w:rPr>
            </w:pPr>
          </w:p>
        </w:tc>
        <w:tc>
          <w:tcPr>
            <w:tcW w:w="440" w:type="dxa"/>
            <w:vAlign w:val="bottom"/>
            <w:tcBorders>
              <w:top w:val="single" w:sz="8" w:color="D9D9D9"/>
            </w:tcBorders>
          </w:tcPr>
          <w:p>
            <w:pPr>
              <w:spacing w:after="0"/>
              <w:rPr>
                <w:sz w:val="2"/>
                <w:szCs w:val="2"/>
                <w:color w:val="auto"/>
              </w:rPr>
            </w:pPr>
          </w:p>
        </w:tc>
        <w:tc>
          <w:tcPr>
            <w:tcW w:w="46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80" w:type="dxa"/>
            <w:vAlign w:val="bottom"/>
            <w:tcBorders>
              <w:top w:val="single" w:sz="8" w:color="D9D9D9"/>
            </w:tcBorders>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xmlns:w="http://schemas.openxmlformats.org/wordprocessingml/2006/main">
        <w:ind w:left="2760"/>
        <w:spacing w:after="0" w:line="181" w:lineRule="auto"/>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Markt Onderliggende Index Move (</w:t>
      </w:r>
      <w:r>
        <w:rPr xmlns:w="http://schemas.openxmlformats.org/wordprocessingml/2006/main">
          <w:rFonts w:ascii="Calibri" w:cs="Calibri" w:eastAsia="Calibri" w:hAnsi="Calibri"/>
          <w:sz w:val="16"/>
          <w:szCs w:val="16"/>
          <w:u w:val="single" w:color="auto"/>
          <w:color w:val="FF0000"/>
        </w:rPr>
        <w:t xml:space="preserve">rode grafiek)</w:t>
      </w:r>
    </w:p>
    <w:p>
      <w:pPr>
        <w:spacing w:after="0" w:line="1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FF0000"/>
        </w:rPr>
        <w:t xml:space="preserve">Punt</w:t>
      </w:r>
      <w:r>
        <w:rPr xmlns:w="http://schemas.openxmlformats.org/wordprocessingml/2006/main">
          <w:rFonts w:ascii="Calibri" w:cs="Calibri" w:eastAsia="Calibri" w:hAnsi="Calibri"/>
          <w:sz w:val="16"/>
          <w:szCs w:val="16"/>
          <w:u w:val="single" w:color="auto"/>
          <w:color w:val="000000"/>
        </w:rPr>
        <w:t xml:space="preserve">)</w:t>
      </w:r>
    </w:p>
    <w:p>
      <w:pPr>
        <w:spacing w:after="0" w:line="17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$15</w:t>
      </w:r>
    </w:p>
    <w:p>
      <w:pPr>
        <w:spacing w:after="0" w:line="123" w:lineRule="exact"/>
        <w:rPr>
          <w:sz w:val="20"/>
          <w:szCs w:val="20"/>
          <w:color w:val="auto"/>
        </w:rPr>
      </w:pPr>
    </w:p>
    <w:p>
      <w:pPr xmlns:w="http://schemas.openxmlformats.org/wordprocessingml/2006/main">
        <w:ind w:left="280" w:hanging="137"/>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$ 2500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+$ 2500</w:t>
      </w:r>
    </w:p>
    <w:p>
      <w:pPr>
        <w:spacing w:after="0" w:line="10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Index Move (</w:t>
      </w:r>
      <w:r>
        <w:rPr xmlns:w="http://schemas.openxmlformats.org/wordprocessingml/2006/main">
          <w:rFonts w:ascii="Calibri" w:cs="Calibri" w:eastAsia="Calibri" w:hAnsi="Calibri"/>
          <w:sz w:val="16"/>
          <w:szCs w:val="16"/>
          <w:u w:val="single" w:color="auto"/>
          <w:color w:val="00B050"/>
        </w:rPr>
        <w:t xml:space="preserve">Groen Plot</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Punt</w:t>
      </w:r>
      <w:r>
        <w:rPr xmlns:w="http://schemas.openxmlformats.org/wordprocessingml/2006/main">
          <w:rFonts w:ascii="Calibri" w:cs="Calibri" w:eastAsia="Calibri" w:hAnsi="Calibri"/>
          <w:sz w:val="16"/>
          <w:szCs w:val="16"/>
          <w:u w:val="single" w:color="auto"/>
          <w:color w:val="000000"/>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$35</w:t>
      </w:r>
    </w:p>
    <w:p>
      <w:pPr>
        <w:spacing w:after="0" w:line="123" w:lineRule="exact"/>
        <w:rPr>
          <w:sz w:val="20"/>
          <w:szCs w:val="20"/>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$ 500</w:t>
      </w:r>
    </w:p>
    <w:p>
      <w:pPr xmlns:w="http://schemas.openxmlformats.org/wordprocessingml/2006/main">
        <w:ind w:left="140"/>
        <w:spacing w:after="0" w:line="207"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+$ 500</w:t>
      </w:r>
    </w:p>
    <w:p>
      <w:pPr>
        <w:spacing w:after="0" w:line="34" w:lineRule="exact"/>
        <w:rPr>
          <w:sz w:val="20"/>
          <w:szCs w:val="20"/>
          <w:color w:val="auto"/>
        </w:rPr>
      </w:pPr>
    </w:p>
    <w:p>
      <w:pPr xmlns:w="http://schemas.openxmlformats.org/wordprocessingml/2006/main">
        <w:ind w:right="10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minus de premie.</w:t>
      </w:r>
    </w:p>
    <w:p>
      <w:pPr>
        <w:spacing w:after="0" w:line="80" w:lineRule="exact"/>
        <w:rPr>
          <w:sz w:val="20"/>
          <w:szCs w:val="20"/>
          <w:color w:val="auto"/>
        </w:rPr>
      </w:pPr>
    </w:p>
    <w:p>
      <w:pPr>
        <w:sectPr>
          <w:pgSz w:w="12240" w:h="15840" w:orient="portrait"/>
          <w:cols w:equalWidth="0" w:num="2">
            <w:col w:w="6060" w:space="460"/>
            <w:col w:w="3860"/>
          </w:cols>
          <w:pgMar w:left="940" w:top="774" w:right="920" w:bottom="176" w:gutter="0" w:footer="0" w:header="0"/>
          <w:type w:val="continuous"/>
        </w:sectPr>
      </w:pPr>
    </w:p>
    <w:p>
      <w:pPr xmlns:w="http://schemas.openxmlformats.org/wordprocessingml/2006/main">
        <w:ind w:right="4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6.35pt,1.6pt" o:allowincell="f" strokecolor="#000000" strokeweight="0.4799pt"/>
            </w:pict>
          </mc:Fallback>
        </mc:AlternateContent>
      </w:r>
    </w:p>
    <w:p>
      <w:pPr>
        <w:sectPr>
          <w:pgSz w:w="12240" w:h="15840" w:orient="portrait"/>
          <w:cols w:equalWidth="0" w:num="1">
            <w:col w:w="10380"/>
          </w:cols>
          <w:pgMar w:left="940" w:top="774" w:right="920" w:bottom="176"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6447790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7.7pt" to="573.35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7988300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9pt" to="573.35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Kosten die u betaalt aan uw adviseur of distributeur en houden geen rekening met uw persoonlijke belastingsituatie, die ook van invloed kan zijn op hoeveel u ontvangt.</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 dan is dit</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informatie geven over deze</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kosten en hoe deze uw investering beïnvloeden.</w:t>
            </w:r>
            <w:r>
              <w:rPr xmlns:w="http://schemas.openxmlformats.org/wordprocessingml/2006/main">
                <w:rFonts w:ascii="Calibri" w:cs="Calibri" w:eastAsia="Calibri" w:hAnsi="Calibri"/>
                <w:sz w:val="22"/>
                <w:szCs w:val="22"/>
                <w:color w:val="auto"/>
              </w:rPr>
              <w:t xml:space="preserve"> samenvoegen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Kosten voor gestandaardiseerde indexopties zijn afhankelijk van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meerdere factoren.</w:t>
            </w:r>
            <w:r>
              <w:rPr xmlns:w="http://schemas.openxmlformats.org/wordprocessingml/2006/main">
                <w:rFonts w:ascii="Calibri" w:cs="Calibri" w:eastAsia="Calibri" w:hAnsi="Calibri"/>
                <w:sz w:val="22"/>
                <w:szCs w:val="22"/>
                <w:color w:val="auto"/>
              </w:rPr>
              <w:t xml:space="preserve"> Een optiepremie is de betaalde kosten</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door de houder aan de schrijver.</w:t>
            </w:r>
            <w:r>
              <w:rPr xmlns:w="http://schemas.openxmlformats.org/wordprocessingml/2006/main">
                <w:rFonts w:ascii="Calibri" w:cs="Calibri" w:eastAsia="Calibri" w:hAnsi="Calibri"/>
                <w:sz w:val="22"/>
                <w:szCs w:val="22"/>
                <w:color w:val="auto"/>
              </w:rPr>
              <w:t xml:space="preserve"> Factoren met een significante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het effect op de premie omvat, maar is niet beperkt tot,</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indexwaarde, de tijd tot het verstrijken van de optie, en</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uitoefenprijs.</w:t>
            </w:r>
            <w:r>
              <w:rPr xmlns:w="http://schemas.openxmlformats.org/wordprocessingml/2006/main">
                <w:rFonts w:ascii="Calibri" w:cs="Calibri" w:eastAsia="Calibri" w:hAnsi="Calibri"/>
                <w:sz w:val="22"/>
                <w:szCs w:val="22"/>
                <w:color w:val="auto"/>
              </w:rPr>
              <w:t xml:space="preserve"> Beleggen in opties betekent extra</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kosten die belastingoverwegingen en transactiekosten omvatten</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en margevereisten die een aanzienlijke invloed kunnen hebben op</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winst of verlies.</w:t>
            </w:r>
            <w:r>
              <w:rPr xmlns:w="http://schemas.openxmlformats.org/wordprocessingml/2006/main">
                <w:rFonts w:ascii="Calibri" w:cs="Calibri" w:eastAsia="Calibri" w:hAnsi="Calibri"/>
                <w:sz w:val="22"/>
                <w:szCs w:val="22"/>
                <w:color w:val="auto"/>
              </w:rPr>
              <w:t xml:space="preserve"> Transactiekosten bestaan voornamelijk uit</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commissies (die worden opgelegd bij het openen, sluiten,</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uitoefening- en cessietransacties), maar ook</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Marge- en rentekosten zijn inbegrepen.</w:t>
            </w:r>
            <w:r>
              <w:rPr xmlns:w="http://schemas.openxmlformats.org/wordprocessingml/2006/main">
                <w:rFonts w:ascii="Calibri" w:cs="Calibri" w:eastAsia="Calibri" w:hAnsi="Calibri"/>
                <w:sz w:val="22"/>
                <w:szCs w:val="22"/>
                <w:color w:val="auto"/>
              </w:rPr>
              <w:t xml:space="preserve"> Marge betekent activa</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vereist om door een schrijver bij zijn makelaardij te worden neergelegd</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onderneming als zekerheid voor de verplichting tot betaling van de vergoeding</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vereffeningsbedrag.</w:t>
            </w:r>
            <w:r>
              <w:rPr xmlns:w="http://schemas.openxmlformats.org/wordprocessingml/2006/main">
                <w:rFonts w:ascii="Calibri" w:cs="Calibri" w:eastAsia="Calibri" w:hAnsi="Calibri"/>
                <w:sz w:val="22"/>
                <w:szCs w:val="22"/>
                <w:color w:val="auto"/>
              </w:rPr>
              <w:t xml:space="preserve"> Indien een optie wordt uitgeoefend en</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Als een schrijver wordt toegewezen, kunnen er extra kosten ontstaan.</w:t>
            </w:r>
            <w:r>
              <w:rPr xmlns:w="http://schemas.openxmlformats.org/wordprocessingml/2006/main">
                <w:rFonts w:ascii="Calibri" w:cs="Calibri" w:eastAsia="Calibri" w:hAnsi="Calibri"/>
                <w:sz w:val="22"/>
                <w:szCs w:val="22"/>
                <w:color w:val="auto"/>
              </w:rPr>
              <w:t xml:space="preserve"> apart</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van beleggerskosten brengt OCC gerelateerde kosten in rekening voor</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clearing van dit product aan zijn clearingleden, maar niet</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vervalt of wordt uitgeoefend.</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optiecontract(en) moeten uitoefenen of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0"/>
          <w:szCs w:val="20"/>
          <w:color w:val="auto"/>
        </w:rPr>
        <w:t xml:space="preserve">VS</w:t>
      </w:r>
      <w:r>
        <w:rPr xmlns:w="http://schemas.openxmlformats.org/wordprocessingml/2006/main">
          <w:rFonts w:ascii="Calibri" w:cs="Calibri" w:eastAsia="Calibri" w:hAnsi="Calibri"/>
          <w:sz w:val="20"/>
          <w:szCs w:val="20"/>
          <w:color w:val="auto"/>
        </w:rPr>
        <w:t xml:space="preserve"> Securities and Exchange Commission</w:t>
      </w:r>
    </w:p>
    <w:p>
      <w:pPr xmlns:w="http://schemas.openxmlformats.org/wordprocessingml/2006/main">
        <w:ind w:left="380"/>
        <w:spacing w:after="0" w:line="238" w:lineRule="auto"/>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9509 Key West Avenue</w:t>
        <w:tab xmlns:w="http://schemas.openxmlformats.org/wordprocessingml/2006/main"/>
      </w:r>
      <w:r>
        <w:rPr xmlns:w="http://schemas.openxmlformats.org/wordprocessingml/2006/main">
          <w:rFonts w:ascii="Calibri" w:cs="Calibri" w:eastAsia="Calibri" w:hAnsi="Calibri"/>
          <w:sz w:val="20"/>
          <w:szCs w:val="20"/>
          <w:color w:val="auto"/>
        </w:rPr>
        <w:t xml:space="preserve">Office of Investor Education and Advocacy</w:t>
      </w:r>
    </w:p>
    <w:p>
      <w:pPr>
        <w:spacing w:after="0" w:line="1" w:lineRule="exact"/>
        <w:rPr>
          <w:sz w:val="20"/>
          <w:szCs w:val="20"/>
          <w:color w:val="auto"/>
        </w:rPr>
      </w:pPr>
    </w:p>
    <w:p>
      <w:pPr xmlns:w="http://schemas.openxmlformats.org/wordprocessingml/2006/main">
        <w:ind w:left="38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19"/>
          <w:szCs w:val="19"/>
          <w:color w:val="auto"/>
        </w:rPr>
        <w:t xml:space="preserve">100 F Street, n.e.</w:t>
      </w:r>
    </w:p>
    <w:p>
      <w:pPr>
        <w:spacing w:after="0" w:line="1" w:lineRule="exact"/>
        <w:rPr>
          <w:sz w:val="20"/>
          <w:szCs w:val="20"/>
          <w:color w:val="auto"/>
        </w:rPr>
      </w:pPr>
    </w:p>
    <w:p>
      <w:pPr xmlns:w="http://schemas.openxmlformats.org/wordprocessingml/2006/main">
        <w:ind w:left="38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Telefoon: (240) 386-HELP (4357) Fax: (866) 397-3290</w:t>
        <w:tab xmlns:w="http://schemas.openxmlformats.org/wordprocessingml/2006/main"/>
      </w:r>
      <w:r>
        <w:rPr xmlns:w="http://schemas.openxmlformats.org/wordprocessingml/2006/main">
          <w:rFonts w:ascii="Calibri" w:cs="Calibri" w:eastAsia="Calibri" w:hAnsi="Calibri"/>
          <w:sz w:val="19"/>
          <w:szCs w:val="19"/>
          <w:color w:val="auto"/>
        </w:rPr>
        <w:t xml:space="preserve">Washington, DC 20549-0213 Fax: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799pt"/>
            </w:pict>
          </mc:Fallback>
        </mc:AlternateContent>
      </w:r>
    </w:p>
    <w:p>
      <w:pPr>
        <w:sectPr>
          <w:pgSz w:w="12240" w:h="15840" w:orient="portrait"/>
          <w:cols w:equalWidth="0" w:num="1">
            <w:col w:w="10740"/>
          </w:cols>
          <w:pgMar w:left="720" w:top="774" w:right="780" w:bottom="650"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740"/>
      </w:cols>
      <w:pgMar w:left="720" w:top="774" w:right="780" w:bottom="65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3DFF6C29"/>
    <w:multiLevelType w:val="hybridMultilevel"/>
    <w:lvl w:ilvl="0">
      <w:lvlJc w:val="left"/>
      <w:lvlText w:val="·"/>
      <w:numFmt w:val="bullet"/>
      <w:start w:val="1"/>
    </w:lvl>
  </w:abstractNum>
  <w:abstractNum w:abstractNumId="1">
    <w:nsid w:val="300A403D"/>
    <w:multiLevelType w:val="hybridMultilevel"/>
    <w:lvl w:ilvl="0">
      <w:lvlJc w:val="left"/>
      <w:lvlText w:val="·"/>
      <w:numFmt w:val="bullet"/>
      <w:start w:val="1"/>
    </w:lvl>
  </w:abstractNum>
  <w:abstractNum w:abstractNumId="2">
    <w:nsid w:val="4C5BDB06"/>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2024-06-24T11:37:16Z</dcterms:created>
  <dcterms:modified xsi:type="dcterms:W3CDTF">2024-06-24T11:37:16Z</dcterms:modified>
</cp:coreProperties>
</file>