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5"/>
          <w:szCs w:val="25"/>
          <w:color w:val="auto"/>
        </w:rPr>
        <w:drawing xmlns:w="http://schemas.openxmlformats.org/wordprocessingml/2006/main">
          <wp:anchor xmlns:wp="http://schemas.openxmlformats.org/drawingml/2006/wordprocessingDrawing" simplePos="0" relativeHeight="251657728" behindDoc="1" locked="0" layoutInCell="0" allowOverlap="1">
            <wp:simplePos x="0" y="0"/>
            <wp:positionH relativeFrom="page">
              <wp:posOffset>635000</wp:posOffset>
            </wp:positionH>
            <wp:positionV relativeFrom="page">
              <wp:posOffset>381000</wp:posOffset>
            </wp:positionV>
            <wp:extent cx="1778000" cy="4495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49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 xmlns:w="http://schemas.openxmlformats.org/wordprocessingml/2006/main">
          <w:rFonts w:ascii="Arial" w:cs="Arial" w:eastAsia="Arial" w:hAnsi="Arial"/>
          <w:sz w:val="25"/>
          <w:szCs w:val="25"/>
          <w:color w:val="auto"/>
        </w:rPr>
        <w:t xml:space="preserve">Kluczowe Informacje Dla Inwestorów</w:t>
      </w:r>
    </w:p>
    <w:p>
      <w:pPr>
        <w:spacing w:after="0" w:line="12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8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Niniejszy dokument zawiera kluczowe informacje dla inwestorów na temat tego UCITS ("Fundusz").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Nie jest to materiał marketingowy.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Informacje te są wymagane przez prawo, aby pomóc Ci zrozumieć charakter i ryzyko inwestowania w ten Fundusz.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Zachęcamy do zapoznania się z nią, aby móc podjąć świadomą decyzję o ewentualnej inwestycji.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34290</wp:posOffset>
                </wp:positionV>
                <wp:extent cx="6290310" cy="48260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0310" cy="482600"/>
                        </a:xfrm>
                        <a:prstGeom prst="rect">
                          <a:avLst/>
                        </a:prstGeom>
                        <a:solidFill>
                          <a:srgbClr val="EE7F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" o:spid="_x0000_s1027" style="position:absolute;margin-left:0pt;margin-top:2.7pt;width:495.3pt;height:38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7F00" stroked="f"/>
            </w:pict>
          </mc:Fallback>
        </mc:AlternateContent>
      </w:r>
    </w:p>
    <w:p>
      <w:pPr>
        <w:spacing w:after="0" w:line="7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60" w:right="4220"/>
        <w:spacing w:after="0" w:line="32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4"/>
          <w:szCs w:val="24"/>
          <w:b w:val="1"/>
          <w:bCs w:val="1"/>
          <w:color w:val="FFFFFF"/>
          <w:shd w:val="clear" w:color="auto" w:fill="EE7F00"/>
        </w:rPr>
        <w:t xml:space="preserve">Amundi MSCI Water ESG Screened UCITS ETF subfundusz MULTI UNITS FRANCE SICAV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55245</wp:posOffset>
                </wp:positionV>
                <wp:extent cx="6290310" cy="29845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0310" cy="298450"/>
                        </a:xfrm>
                        <a:prstGeom prst="rect">
                          <a:avLst/>
                        </a:prstGeom>
                        <a:solidFill>
                          <a:srgbClr val="EE7F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" o:spid="_x0000_s1028" style="position:absolute;margin-left:0pt;margin-top:4.35pt;width:495.3pt;height:23.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7F00" stroked="f"/>
            </w:pict>
          </mc:Fallback>
        </mc:AlternateContent>
      </w:r>
    </w:p>
    <w:p>
      <w:pPr>
        <w:spacing w:after="0" w:line="10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5"/>
          <w:szCs w:val="25"/>
          <w:b w:val="1"/>
          <w:bCs w:val="1"/>
          <w:color w:val="FFFFFF"/>
          <w:shd w:val="clear" w:color="auto" w:fill="EE7F00"/>
        </w:rPr>
        <w:t xml:space="preserve">Amundi MSCI Water ESG Screened UCITS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118745</wp:posOffset>
                </wp:positionV>
                <wp:extent cx="6286500" cy="41910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419100"/>
                        </a:xfrm>
                        <a:prstGeom prst="rect">
                          <a:avLst/>
                        </a:prstGeom>
                        <a:solidFill>
                          <a:srgbClr val="EE7F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" o:spid="_x0000_s1029" style="position:absolute;margin-left:0pt;margin-top:9.35pt;width:495pt;height:33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7F00" stroked="f"/>
            </w:pict>
          </mc:Fallback>
        </mc:AlternateContent>
      </w:r>
    </w:p>
    <w:p>
      <w:pPr>
        <w:spacing w:after="0" w:line="17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2"/>
          <w:szCs w:val="22"/>
          <w:b w:val="1"/>
          <w:bCs w:val="1"/>
          <w:color w:val="FFFFFF"/>
        </w:rPr>
        <w:t xml:space="preserve">Kod ISIN: (C/D) FR0010527275</w:t>
      </w:r>
    </w:p>
    <w:p>
      <w:pPr>
        <w:spacing w:after="0" w:line="7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FFFFFF"/>
        </w:rPr>
        <w:t xml:space="preserve">Fundusz jest zarządzany przez Amundi Asset Management, firmę należącą do Amundi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auto"/>
          <w:highlight w:val="darkGray"/>
        </w:rPr>
        <w:t xml:space="preserve">Cele i polityka inwestycyjna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-137795</wp:posOffset>
                </wp:positionV>
                <wp:extent cx="6286500" cy="151765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151765"/>
                        </a:xfrm>
                        <a:prstGeom prst="rect">
                          <a:avLst/>
                        </a:prstGeom>
                        <a:solidFill>
                          <a:srgbClr val="AFAFAF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" o:spid="_x0000_s1030" style="position:absolute;margin-left:0pt;margin-top:-10.8499pt;width:495pt;height:11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AFAFAF" stroked="f"/>
            </w:pict>
          </mc:Fallback>
        </mc:AlternateConten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Fundusz jest pasywnie zarządzanym UCITS śledzącym indeksy.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6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Celem zarządzania Funduszem jest odtworzenie, zarówno w górę, jak i w dół, zmiany w denominowanym w USD MSCI ACWI IMI Water ESG Filtered Net Total Return Index (reinwestowane dywidendy netto) ("Indeks referencyjny"), przy jednoczesnym zminimalizowaniu błędu śledzenia między wynikami Funduszu a wynikami jego Indeksu Referencyjnego.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Błąd śledzenia przewidywany w normalnych warunkach rynkowych jest wskazany w prospekcie emisyjnym Funduszu.</w:t>
      </w:r>
    </w:p>
    <w:p>
      <w:pPr>
        <w:spacing w:after="0" w:line="19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6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Wskaźnik referencyjny ma na celu przedstawienie wyników papierów wartościowych, których działalność jest powiązana z sektorem wodnym, w tym z dystrybucją wody, mediami publicznymi i dostawą urządzeń związanych z uzdatnianiem wody i uzdatnianiem wody, z wyłączeniem spółek znajdujących się w tyle na poziomie środowiskowym, społecznym i zarządczym (ESG), w szczególności na podstawie ratingów ESG.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6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Metodologia ratingów ESG opiera się na kluczowych zagadnieniach ESG, w tym m.in. stresie wodnym, emisji dwutlenku węgla, zarządzaniu personelem i etyce biznesu.</w:t>
      </w:r>
    </w:p>
    <w:p>
      <w:pPr xmlns:w="http://schemas.openxmlformats.org/wordprocessingml/2006/main">
        <w:jc w:val="both"/>
        <w:spacing w:after="0" w:line="26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Indeks referencyjny wykorzystuje podejście best in class, co oznacza, że spółki z ratingiem ESG dostosowanym do branży w dolnym kwartylu są wykluczone z inwestycyjnego uniwersum.</w:t>
      </w:r>
    </w:p>
    <w:p>
      <w:pPr xmlns:w="http://schemas.openxmlformats.org/wordprocessingml/2006/main">
        <w:jc w:val="both"/>
        <w:spacing w:after="0" w:line="26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Więcej informacji na temat ogólnych i szczegółowych celów Subfunduszu w zakresie ochrony środowiska, polityki społecznej i ładu korporacyjnego (ESG) znajduje się w Kodeksie Przejrzystości Subfunduszu na stronie https://amundietf.com/.</w:t>
      </w:r>
    </w:p>
    <w:p>
      <w:pPr xmlns:w="http://schemas.openxmlformats.org/wordprocessingml/2006/main">
        <w:jc w:val="both"/>
        <w:spacing w:after="0" w:line="26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Limity metodologii wskaźnika referencyjnego są opisane w prospekcie emisyjnym Funduszu poprzez czynniki ryzyka takie jak ryzyko rynkowe związane z kontrowersjami oraz ryzyka związane z metodologiami ESG i kalkulacją wyników ESG.</w:t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Dodatkowe informacje na temat indeksów MSCI można znaleźć na stronie internetowej MSCI (www.msci.com).</w:t>
      </w:r>
    </w:p>
    <w:p>
      <w:pPr>
        <w:spacing w:after="0" w:line="19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Fundusz dąży do osiągnięcia celu poprzez bezpośrednie powielanie, tj. inwestowanie przede wszystkim w komponenty Indeksu Referencyjnego.</w:t>
      </w:r>
    </w:p>
    <w:p>
      <w:pPr>
        <w:spacing w:after="0" w:line="19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W celu optymalizacji powielania wskaźnika referencyjnego Fundusz może stosować technikę doboru próby.</w:t>
      </w:r>
    </w:p>
    <w:p>
      <w:pPr>
        <w:spacing w:after="0" w:line="19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Możliwe zastosowanie tej techniki jest wskazane na stronie amundietf.com.</w:t>
      </w:r>
    </w:p>
    <w:p>
      <w:pPr>
        <w:spacing w:after="0" w:line="19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Aktualny skład portfela Funduszu jest zamieszczony na stronie amundietf.com.</w:t>
      </w:r>
    </w:p>
    <w:p>
      <w:pPr>
        <w:spacing w:after="0" w:line="19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Ponadto wartość aktywów netto jest publikowana na stronach Reuters i Bloomberg Funduszu i może również pojawić się na stronach internetowych jego rynków.</w:t>
      </w:r>
    </w:p>
    <w:p>
      <w:pPr>
        <w:spacing w:after="0" w:line="19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Zysk netto Funduszu oraz zrealizowane zyski kapitałowe netto są reinwestowane lub redystrybuowane każdego roku według uznania Spółki Zarządzającej.</w:t>
      </w:r>
    </w:p>
    <w:p>
      <w:pPr>
        <w:spacing w:after="0" w:line="19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Mogą Państwo odsprzedawać swoje jednostki w godzinach sesyjnych na różnych giełdach, pod warunkiem że animatorzy rynku mogą utrzymać płynność rynku.</w:t>
      </w:r>
    </w:p>
    <w:p>
      <w:pPr>
        <w:spacing w:after="0" w:line="19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Zalecenie: niniejszy SICAV może nie być odpowiedni dla inwestorów, którzy planują wycofać swoje środki w ciągu 5 lat.</w:t>
      </w:r>
    </w:p>
    <w:p>
      <w:pPr>
        <w:sectPr>
          <w:pgSz w:w="11900" w:h="16838" w:orient="portrait"/>
          <w:cols w:equalWidth="0" w:num="1">
            <w:col w:w="9900"/>
          </w:cols>
          <w:pgMar w:left="1000" w:top="1279" w:right="1006" w:bottom="0" w:gutter="0" w:footer="0" w:header="0"/>
        </w:sectPr>
      </w:pPr>
    </w:p>
    <w:p>
      <w:pPr>
        <w:spacing w:after="0" w:line="193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auto"/>
          <w:highlight w:val="darkGray"/>
        </w:rPr>
        <w:t xml:space="preserve">Profil ryzyka i zysku</w:t>
      </w:r>
    </w:p>
    <w:p>
      <w:pPr>
        <w:spacing w:after="0" w:line="54" w:lineRule="exact"/>
        <w:rPr>
          <w:sz w:val="24"/>
          <w:szCs w:val="24"/>
          <w:color w:val="auto"/>
        </w:rPr>
      </w:pPr>
    </w:p>
    <w:tbl>
      <w:tblPr>
        <w:tblLayout w:type="fixed"/>
        <w:tblInd w:w="1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70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2"/>
                <w:szCs w:val="12"/>
                <w:color w:val="auto"/>
              </w:rPr>
              <w:t xml:space="preserve">Niższe ryzyko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2"/>
                <w:szCs w:val="12"/>
                <w:color w:val="auto"/>
              </w:rPr>
              <w:t xml:space="preserve">Wyższe ryzyko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1"/>
        </w:trPr>
        <w:tc>
          <w:tcPr>
            <w:tcW w:w="1380" w:type="dxa"/>
            <w:vAlign w:val="bottom"/>
            <w:gridSpan w:val="2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2"/>
                <w:szCs w:val="12"/>
                <w:color w:val="auto"/>
              </w:rPr>
              <w:t xml:space="preserve">zazwyczaj niższe nagrody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  <w:gridSpan w:val="3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2"/>
                <w:szCs w:val="12"/>
                <w:color w:val="auto"/>
              </w:rPr>
              <w:t xml:space="preserve">zazwyczaj wyższe nagrody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7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4"/>
        </w:trPr>
        <w:tc>
          <w:tcPr>
            <w:tcW w:w="700" w:type="dxa"/>
            <w:vAlign w:val="bottom"/>
            <w:tcBorders>
              <w:left w:val="single" w:sz="8" w:color="auto"/>
              <w:right w:val="single" w:sz="8" w:color="auto"/>
            </w:tcBorders>
            <w:vMerge w:val="restart"/>
          </w:tcPr>
          <w:p>
            <w:pPr xmlns:w="http://schemas.openxmlformats.org/wordprocessingml/2006/main">
              <w:jc w:val="right"/>
              <w:ind w:right="242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3"/>
                <w:szCs w:val="23"/>
                <w:b w:val="1"/>
                <w:bCs w:val="1"/>
                <w:color w:val="AFAFAF"/>
              </w:rPr>
              <w:t xml:space="preserve">1</w:t>
            </w:r>
          </w:p>
        </w:tc>
        <w:tc>
          <w:tcPr>
            <w:tcW w:w="68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jc w:val="right"/>
              <w:ind w:right="225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3"/>
                <w:szCs w:val="23"/>
                <w:b w:val="1"/>
                <w:bCs w:val="1"/>
                <w:color w:val="AFAFAF"/>
              </w:rPr>
              <w:t xml:space="preserve">2</w:t>
            </w:r>
          </w:p>
        </w:tc>
        <w:tc>
          <w:tcPr>
            <w:tcW w:w="66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jc w:val="right"/>
              <w:ind w:right="205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3"/>
                <w:szCs w:val="23"/>
                <w:b w:val="1"/>
                <w:bCs w:val="1"/>
                <w:color w:val="AFAFAF"/>
              </w:rPr>
              <w:t xml:space="preserve">3</w:t>
            </w:r>
          </w:p>
        </w:tc>
        <w:tc>
          <w:tcPr>
            <w:tcW w:w="68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jc w:val="right"/>
              <w:ind w:right="205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3"/>
                <w:szCs w:val="23"/>
                <w:b w:val="1"/>
                <w:bCs w:val="1"/>
                <w:color w:val="AFAFAF"/>
              </w:rPr>
              <w:t xml:space="preserve">4</w:t>
            </w:r>
          </w:p>
        </w:tc>
        <w:tc>
          <w:tcPr>
            <w:tcW w:w="68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jc w:val="right"/>
              <w:ind w:right="205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3"/>
                <w:szCs w:val="23"/>
                <w:b w:val="1"/>
                <w:bCs w:val="1"/>
                <w:color w:val="AFAFAF"/>
              </w:rPr>
              <w:t xml:space="preserve">5</w:t>
            </w:r>
          </w:p>
        </w:tc>
        <w:tc>
          <w:tcPr>
            <w:tcW w:w="260" w:type="dxa"/>
            <w:vAlign w:val="bottom"/>
            <w:vMerge w:val="restart"/>
            <w:shd w:val="clear" w:color="auto" w:fill="AFAEAE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right w:val="single" w:sz="8" w:color="auto"/>
            </w:tcBorders>
            <w:shd w:val="clear" w:color="auto" w:fill="AFAEAE"/>
          </w:tcPr>
          <w:p>
            <w:pPr xmlns:w="http://schemas.openxmlformats.org/wordprocessingml/2006/main">
              <w:jc w:val="right"/>
              <w:ind w:right="19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highlight w:val="darkGray"/>
                <w:w w:val="81"/>
              </w:rPr>
              <w:t xml:space="preserve">6</w:t>
            </w:r>
          </w:p>
        </w:tc>
        <w:tc>
          <w:tcPr>
            <w:tcW w:w="7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jc w:val="right"/>
              <w:ind w:right="233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3"/>
                <w:szCs w:val="23"/>
                <w:b w:val="1"/>
                <w:bCs w:val="1"/>
                <w:color w:val="AFAFAF"/>
              </w:rPr>
              <w:t xml:space="preserve">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70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  <w:vMerge w:val="continue"/>
            <w:shd w:val="clear" w:color="auto" w:fill="AFAEA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right w:val="single" w:sz="8" w:color="auto"/>
            </w:tcBorders>
            <w:shd w:val="clear" w:color="auto" w:fill="AFAEA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auto"/>
            </w:tcBorders>
            <w:shd w:val="clear" w:color="auto" w:fill="AFAEA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AFAEA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41275</wp:posOffset>
            </wp:positionH>
            <wp:positionV relativeFrom="paragraph">
              <wp:posOffset>-585470</wp:posOffset>
            </wp:positionV>
            <wp:extent cx="3060700" cy="18478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00" cy="184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Poziom ryzyka funduszu odzwierciedla jego międzynarodową tematykę inwestycji kapitałowych.</w:t>
      </w:r>
    </w:p>
    <w:p>
      <w:pPr>
        <w:spacing w:after="0" w:line="27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Zainwestowany kapitał początkowy nie jest gwarantowany.</w:t>
      </w:r>
    </w:p>
    <w:p>
      <w:pPr>
        <w:spacing w:after="0" w:line="19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 w:line="27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Dane historyczne, takie jak te wykorzystane do obliczenia wskaźnika syntetycznego, mogą nie być wiarygodnym wskaźnikiem przyszłego profilu ryzyka Funduszu.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Kategoria ryzyka związana z tym SICAV nie jest gwarantowana i może się zmieniać w czasie.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Najniższa kategoria nie oznacza "wolny od ryzyka".</w:t>
      </w:r>
    </w:p>
    <w:p>
      <w:pPr xmlns:w="http://schemas.openxmlformats.org/wordprocessingml/2006/main">
        <w:spacing w:after="0" w:line="20" w:lineRule="exact"/>
        <w:rPr>
          <w:sz w:val="24"/>
          <w:szCs w:val="24"/>
          <w:color w:val="auto"/>
        </w:rPr>
      </w:pPr>
      <w:r>
        <w:rPr xmlns:w="http://schemas.openxmlformats.org/wordprocessingml/2006/main">
          <w:sz w:val="24"/>
          <w:szCs w:val="24"/>
          <w:color w:val="auto"/>
        </w:rPr>
        <w:br xmlns:w="http://schemas.openxmlformats.org/wordprocessingml/2006/main"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Szczególne ryzyka dla Funduszu nieujęte w niniejszym wskaźniku to: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-3148965</wp:posOffset>
                </wp:positionH>
                <wp:positionV relativeFrom="paragraph">
                  <wp:posOffset>-257810</wp:posOffset>
                </wp:positionV>
                <wp:extent cx="6285865" cy="15240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5865" cy="152400"/>
                        </a:xfrm>
                        <a:prstGeom prst="rect">
                          <a:avLst/>
                        </a:prstGeom>
                        <a:solidFill>
                          <a:srgbClr val="AFAFAF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7" o:spid="_x0000_s1032" style="position:absolute;margin-left:-247.9499pt;margin-top:-20.2999pt;width:494.95pt;height:12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AFAFAF" stroked="f"/>
            </w:pict>
          </mc:Fallback>
        </mc:AlternateContent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300"/>
        <w:spacing w:after="0" w:line="26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Ryzyko płynności: W pewnych okolicznościach, takich jak przejściowy spadek obrotów na rynkach finansowych, zakup/sprzedaż niektórych instrumentów finansowych posiadanych przez Fundusz lub wpływ na ich wartość, może spowodować istotną zmianę ich wyceny.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W takich okolicznościach wartość aktywów netto Funduszu może ulec zmianie.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6350</wp:posOffset>
            </wp:positionH>
            <wp:positionV relativeFrom="paragraph">
              <wp:posOffset>-553720</wp:posOffset>
            </wp:positionV>
            <wp:extent cx="88900" cy="8890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" cy="8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spacing w:after="0" w:line="29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Wystąpienie jednego z tych ryzyk może obniżyć wartość aktywów netto Twojego portfela.</w:t>
      </w:r>
    </w:p>
    <w:p>
      <w:pPr>
        <w:spacing w:after="0" w:line="94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4840" w:space="120"/>
            <w:col w:w="4940"/>
          </w:cols>
          <w:pgMar w:left="1000" w:top="1279" w:right="1006" w:bottom="0" w:gutter="0" w:footer="0" w:header="0"/>
          <w:type w:val="continuous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7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94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1 / 2</w:t>
      </w:r>
    </w:p>
    <w:p>
      <w:pPr>
        <w:sectPr>
          <w:pgSz w:w="11900" w:h="16838" w:orient="portrait"/>
          <w:cols w:equalWidth="0" w:num="1">
            <w:col w:w="9900"/>
          </w:cols>
          <w:pgMar w:left="1000" w:top="1279" w:right="1006" w:bottom="0" w:gutter="0" w:footer="0" w:header="0"/>
          <w:type w:val="continuous"/>
        </w:sectPr>
      </w:pPr>
    </w:p>
    <w:bookmarkStart w:id="1" w:name="page2"/>
    <w:bookmarkEnd w:id="1"/>
    <w:p>
      <w:pPr xmlns:w="http://schemas.openxmlformats.org/wordprocessingml/2006/main">
        <w:ind w:left="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auto"/>
          <w:highlight w:val="darkGray"/>
        </w:rPr>
        <w:t xml:space="preserve">Opłaty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-137795</wp:posOffset>
                </wp:positionV>
                <wp:extent cx="6290310" cy="151765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0310" cy="151765"/>
                        </a:xfrm>
                        <a:prstGeom prst="rect">
                          <a:avLst/>
                        </a:prstGeom>
                        <a:solidFill>
                          <a:srgbClr val="AFAFAF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9" o:spid="_x0000_s1034" style="position:absolute;margin-left:0pt;margin-top:-10.8499pt;width:495.3pt;height:11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AFAFAF" stroked="f"/>
            </w:pict>
          </mc:Fallback>
        </mc:AlternateConten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 w:line="27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Wniesione opłaty i należności służą pokryciu kosztów funkcjonowania Funduszu, w tym kosztów marketingu i dystrybucji udziałów.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Opłaty te zmniejszają potencjalny wzrost Państwa inwestycji.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16510</wp:posOffset>
                </wp:positionV>
                <wp:extent cx="3136900" cy="20320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6900" cy="203200"/>
                        </a:xfrm>
                        <a:prstGeom prst="rect">
                          <a:avLst/>
                        </a:prstGeom>
                        <a:solidFill>
                          <a:srgbClr val="EE7F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0" o:spid="_x0000_s1035" style="position:absolute;margin-left:0pt;margin-top:1.3pt;width:247pt;height:16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7F00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1210310</wp:posOffset>
                </wp:positionV>
                <wp:extent cx="3136900" cy="20320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6900" cy="203200"/>
                        </a:xfrm>
                        <a:prstGeom prst="rect">
                          <a:avLst/>
                        </a:prstGeom>
                        <a:solidFill>
                          <a:srgbClr val="EE7F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1" o:spid="_x0000_s1036" style="position:absolute;margin-left:0pt;margin-top:95.3pt;width:247pt;height:16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7F00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15875</wp:posOffset>
                </wp:positionV>
                <wp:extent cx="3138805" cy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88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5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" o:spid="_x0000_s103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0499pt,1.25pt" to="247.1pt,1.25pt" o:allowincell="f" strokecolor="#000000" strokeweight="0.2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1209675</wp:posOffset>
                </wp:positionV>
                <wp:extent cx="3138805" cy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88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5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3" o:spid="_x0000_s103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0499pt,95.25pt" to="247.1pt,95.25pt" o:allowincell="f" strokecolor="#000000" strokeweight="0.2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14605</wp:posOffset>
                </wp:positionV>
                <wp:extent cx="0" cy="200914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20091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5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" o:spid="_x0000_s103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pt,1.15pt" to="0pt,159.35pt" o:allowincell="f" strokecolor="#000000" strokeweight="0.2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3136900</wp:posOffset>
                </wp:positionH>
                <wp:positionV relativeFrom="paragraph">
                  <wp:posOffset>14605</wp:posOffset>
                </wp:positionV>
                <wp:extent cx="0" cy="200914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20091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5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" o:spid="_x0000_s104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7pt,1.15pt" to="247pt,159.35pt" o:allowincell="f" strokecolor="#000000" strokeweight="0.2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900"/>
          </w:cols>
          <w:pgMar w:left="1000" w:top="1088" w:right="1006" w:bottom="0" w:gutter="0" w:footer="0" w:header="0"/>
        </w:sectPr>
      </w:pPr>
    </w:p>
    <w:p>
      <w:pPr>
        <w:spacing w:after="0" w:line="6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FFFFFF"/>
          <w:shd w:val="clear" w:color="auto" w:fill="EE7F00"/>
        </w:rPr>
        <w:t xml:space="preserve">Jednorazowe opłaty pobierane przed lub po dokonaniu inwestycji</w:t>
      </w:r>
    </w:p>
    <w:p>
      <w:pPr>
        <w:spacing w:after="0" w:line="72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44"/>
        </w:trPr>
        <w:tc>
          <w:tcPr>
            <w:tcW w:w="248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Opłata za wjazd</w:t>
            </w:r>
          </w:p>
        </w:tc>
        <w:tc>
          <w:tcPr>
            <w:tcW w:w="2480" w:type="dxa"/>
            <w:vAlign w:val="bottom"/>
            <w:tcBorders>
              <w:top w:val="single" w:sz="8" w:color="auto"/>
            </w:tcBorders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Nie dotyczy inwestorów na</w:t>
            </w:r>
          </w:p>
        </w:tc>
      </w:tr>
      <w:tr>
        <w:trPr>
          <w:trHeight w:val="214"/>
        </w:trPr>
        <w:tc>
          <w:tcPr>
            <w:tcW w:w="24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80" w:type="dxa"/>
            <w:vAlign w:val="bottom"/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rynek wtórny*</w:t>
            </w:r>
          </w:p>
        </w:tc>
      </w:tr>
      <w:tr>
        <w:trPr>
          <w:trHeight w:val="62"/>
        </w:trPr>
        <w:tc>
          <w:tcPr>
            <w:tcW w:w="2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</w:tr>
      <w:tr>
        <w:trPr>
          <w:trHeight w:val="224"/>
        </w:trPr>
        <w:tc>
          <w:tcPr>
            <w:tcW w:w="248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Opłata za wyjście</w:t>
            </w:r>
          </w:p>
        </w:tc>
        <w:tc>
          <w:tcPr>
            <w:tcW w:w="2480" w:type="dxa"/>
            <w:vAlign w:val="bottom"/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Nie dotyczy inwestorów na</w:t>
            </w:r>
          </w:p>
        </w:tc>
      </w:tr>
      <w:tr>
        <w:trPr>
          <w:trHeight w:val="214"/>
        </w:trPr>
        <w:tc>
          <w:tcPr>
            <w:tcW w:w="24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80" w:type="dxa"/>
            <w:vAlign w:val="bottom"/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rynek wtórny*</w:t>
            </w:r>
          </w:p>
        </w:tc>
      </w:tr>
      <w:tr>
        <w:trPr>
          <w:trHeight w:val="62"/>
        </w:trPr>
        <w:tc>
          <w:tcPr>
            <w:tcW w:w="2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40" w:right="80"/>
        <w:spacing w:after="0" w:line="30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Wskazany procent jest maksymalnym limitem, który można odliczyć od kapitału przed zainwestowaniem (wejście) lub wykupieniem (wyjście).</w:t>
      </w:r>
    </w:p>
    <w:p>
      <w:pPr>
        <w:spacing w:after="0" w:line="6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FFFFFF"/>
          <w:shd w:val="clear" w:color="auto" w:fill="EE7F00"/>
        </w:rPr>
        <w:t xml:space="preserve">Opłaty pobierane przez SICAV w ciągu roku</w:t>
      </w:r>
    </w:p>
    <w:p>
      <w:pPr>
        <w:spacing w:after="0" w:line="72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8"/>
        </w:trPr>
        <w:tc>
          <w:tcPr>
            <w:tcW w:w="2480" w:type="dxa"/>
            <w:vAlign w:val="bottom"/>
            <w:tcBorders>
              <w:top w:val="single" w:sz="8" w:color="auto"/>
              <w:right w:val="single" w:sz="8" w:color="auto"/>
            </w:tcBorders>
            <w:gridSpan w:val="2"/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Koszty operacyjne</w:t>
            </w:r>
          </w:p>
        </w:tc>
        <w:tc>
          <w:tcPr>
            <w:tcW w:w="2480" w:type="dxa"/>
            <w:vAlign w:val="bottom"/>
            <w:tcBorders>
              <w:top w:val="single" w:sz="8" w:color="auto"/>
            </w:tcBorders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0.6% średnich aktywów netto</w:t>
            </w:r>
          </w:p>
        </w:tc>
      </w:tr>
      <w:tr>
        <w:trPr>
          <w:trHeight w:val="52"/>
        </w:trPr>
        <w:tc>
          <w:tcPr>
            <w:tcW w:w="6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  <w:tr>
        <w:trPr>
          <w:trHeight w:val="238"/>
        </w:trPr>
        <w:tc>
          <w:tcPr>
            <w:tcW w:w="640" w:type="dxa"/>
            <w:vAlign w:val="bottom"/>
            <w:shd w:val="clear" w:color="auto" w:fill="EE7F00"/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FFFFFF"/>
                <w:w w:val="95"/>
                <w:shd w:val="clear" w:color="auto" w:fill="EE7F00"/>
              </w:rPr>
              <w:t xml:space="preserve">Opłaty</w:t>
            </w:r>
          </w:p>
        </w:tc>
        <w:tc>
          <w:tcPr>
            <w:tcW w:w="4300" w:type="dxa"/>
            <w:vAlign w:val="bottom"/>
            <w:gridSpan w:val="2"/>
            <w:shd w:val="clear" w:color="auto" w:fill="EE7F00"/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FFFFFF"/>
                <w:shd w:val="clear" w:color="auto" w:fill="EE7F00"/>
              </w:rPr>
              <w:t xml:space="preserve">pobieranych przez SICAV w określonych okolicznościach</w:t>
            </w:r>
          </w:p>
        </w:tc>
      </w:tr>
      <w:tr>
        <w:trPr>
          <w:trHeight w:val="62"/>
        </w:trPr>
        <w:tc>
          <w:tcPr>
            <w:tcW w:w="640" w:type="dxa"/>
            <w:vAlign w:val="bottom"/>
            <w:tcBorders>
              <w:bottom w:val="single" w:sz="8" w:color="auto"/>
            </w:tcBorders>
            <w:shd w:val="clear" w:color="auto" w:fill="EE7F0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auto"/>
              <w:right w:val="single" w:sz="8" w:color="EE7F00"/>
            </w:tcBorders>
            <w:shd w:val="clear" w:color="auto" w:fill="EE7F0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80" w:type="dxa"/>
            <w:vAlign w:val="bottom"/>
            <w:tcBorders>
              <w:bottom w:val="single" w:sz="8" w:color="auto"/>
            </w:tcBorders>
            <w:shd w:val="clear" w:color="auto" w:fill="EE7F0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</w:tr>
      <w:tr>
        <w:trPr>
          <w:trHeight w:val="248"/>
        </w:trPr>
        <w:tc>
          <w:tcPr>
            <w:tcW w:w="2480" w:type="dxa"/>
            <w:vAlign w:val="bottom"/>
            <w:tcBorders>
              <w:right w:val="single" w:sz="8" w:color="auto"/>
            </w:tcBorders>
            <w:gridSpan w:val="2"/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Opłata za wyniki</w:t>
            </w:r>
          </w:p>
        </w:tc>
        <w:tc>
          <w:tcPr>
            <w:tcW w:w="2480" w:type="dxa"/>
            <w:vAlign w:val="bottom"/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0</w:t>
            </w:r>
          </w:p>
        </w:tc>
      </w:tr>
      <w:tr>
        <w:trPr>
          <w:trHeight w:val="52"/>
        </w:trPr>
        <w:tc>
          <w:tcPr>
            <w:tcW w:w="6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</w:tbl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1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 w:line="27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b w:val="1"/>
          <w:bCs w:val="1"/>
          <w:color w:val="auto"/>
        </w:rPr>
        <w:t xml:space="preserve">*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Na</w:t>
      </w:r>
      <w:r>
        <w:rPr xmlns:w="http://schemas.openxmlformats.org/wordprocessingml/2006/main">
          <w:rFonts w:ascii="Arial" w:cs="Arial" w:eastAsia="Arial" w:hAnsi="Arial"/>
          <w:sz w:val="14"/>
          <w:szCs w:val="14"/>
          <w:b w:val="1"/>
          <w:bCs w:val="1"/>
          <w:color w:val="auto"/>
        </w:rPr>
        <w:t xml:space="preserve"> rynku wtórnym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: Fundusz jest ETF-em, więc inwestorzy niebędący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 w:line="26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sprzedaży akcji Funduszu na rynku wtórnym.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Na rynku wtórnym inwestorzy mogą zostać obciążeni opłatami maklerskimi</w:t>
      </w:r>
    </w:p>
    <w:p>
      <w:pPr xmlns:w="http://schemas.openxmlformats.org/wordprocessingml/2006/main">
        <w:spacing w:after="0" w:line="26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lub opłat transakcyjnych związanych z złożeniem zlecenia kupna/sprzedaży na odpowiedniej giełdzie.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Opłaty te są pobierane przez pośredników rynkowych i nie są pobierane ani zwracane przez Fundusz lub spółkę zarządzającą.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Inwestorzy mogą również zapłacić dodatkową kwotę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 w:line="26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w wyniku różnicy między ceną sprzedaży a ceną nabycia akcji Funduszu (spread kupna-sprzedaży).</w:t>
      </w:r>
    </w:p>
    <w:p>
      <w:pPr xmlns:w="http://schemas.openxmlformats.org/wordprocessingml/2006/main">
        <w:spacing w:after="0" w:line="26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b w:val="1"/>
          <w:bCs w:val="1"/>
          <w:color w:val="auto"/>
        </w:rPr>
        <w:t xml:space="preserve">Na rynku pierwotnym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: Uprawnieni Uczestnicy, którzy dokonają subskrypcji/umorzenia swoich akcji w Funduszu, poniosą bezpośrednio stosowne koszty</w:t>
      </w:r>
    </w:p>
    <w:p>
      <w:pPr xmlns:w="http://schemas.openxmlformats.org/wordprocessingml/2006/main">
        <w:spacing w:after="0" w:line="26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na rynku pierwotnym Funduszu, o czym mowa w pkt 4 prospektu </w:t>
      </w:r>
      <w:r>
        <w:rPr xmlns:w="http://schemas.openxmlformats.org/wordprocessingml/2006/main">
          <w:rFonts w:ascii="Arial" w:cs="Arial" w:eastAsia="Arial" w:hAnsi="Arial"/>
          <w:sz w:val="14"/>
          <w:szCs w:val="14"/>
          <w:b w:val="1"/>
          <w:bCs w:val="1"/>
          <w:color w:val="auto"/>
        </w:rPr>
        <w:t xml:space="preserve">Opłaty bieżące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opierają się na danych liczbowych za poprzedni rok obrotowy zakończony 31 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października 2022 r.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Odsetek ten może się zmieniać z roku na rok.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Nie obejmuje ona: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30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Opłaty za wyniki,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6350</wp:posOffset>
            </wp:positionH>
            <wp:positionV relativeFrom="paragraph">
              <wp:posOffset>-85090</wp:posOffset>
            </wp:positionV>
            <wp:extent cx="88900" cy="8890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" cy="8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300"/>
        <w:spacing w:after="0" w:line="29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Opłaty za pośrednictwo, z wyjątkiem opłat za wejście i wyjście uiszczanych przez UCITS przy zakupie lub sprzedaży jednostek uczestnictwa w innym funduszu.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6350</wp:posOffset>
            </wp:positionH>
            <wp:positionV relativeFrom="paragraph">
              <wp:posOffset>-231775</wp:posOffset>
            </wp:positionV>
            <wp:extent cx="88900" cy="8890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" cy="8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4940" w:space="80"/>
            <w:col w:w="4880"/>
          </w:cols>
          <w:pgMar w:left="1000" w:top="1088" w:right="1006" w:bottom="0" w:gutter="0" w:footer="0" w:header="0"/>
          <w:type w:val="continuous"/>
        </w:sectPr>
      </w:pPr>
    </w:p>
    <w:p>
      <w:pPr xmlns:w="http://schemas.openxmlformats.org/wordprocessingml/2006/main">
        <w:spacing w:after="0" w:line="30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Więcej informacji na temat opłat tego Funduszu znajduje się w sekcji "Koszty i opłaty" prospektu emisyjnego Funduszu, który jest dostępny na stronie amundietf.com.</w:t>
      </w:r>
    </w:p>
    <w:p>
      <w:pPr>
        <w:sectPr>
          <w:pgSz w:w="11900" w:h="16838" w:orient="portrait"/>
          <w:cols w:equalWidth="0" w:num="1">
            <w:col w:w="9900"/>
          </w:cols>
          <w:pgMar w:left="1000" w:top="1088" w:right="1006" w:bottom="0" w:gutter="0" w:footer="0" w:header="0"/>
          <w:type w:val="continuous"/>
        </w:sectPr>
      </w:pPr>
    </w:p>
    <w:p>
      <w:pPr>
        <w:spacing w:after="0" w:line="2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auto"/>
          <w:highlight w:val="darkGray"/>
        </w:rPr>
        <w:t xml:space="preserve">Wyniki z przeszłości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-137795</wp:posOffset>
                </wp:positionV>
                <wp:extent cx="6290310" cy="151765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0310" cy="151765"/>
                        </a:xfrm>
                        <a:prstGeom prst="rect">
                          <a:avLst/>
                        </a:prstGeom>
                        <a:solidFill>
                          <a:srgbClr val="AFAFAF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8" o:spid="_x0000_s1043" style="position:absolute;margin-left:0pt;margin-top:-10.8499pt;width:495.3pt;height:11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AFAFAF" stroked="f"/>
            </w:pict>
          </mc:Fallback>
        </mc:AlternateContent>
      </w:r>
    </w:p>
    <w:p>
      <w:pPr>
        <w:spacing w:after="0" w:line="203" w:lineRule="exact"/>
        <w:rPr>
          <w:sz w:val="20"/>
          <w:szCs w:val="20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5"/>
        </w:trPr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  <w:gridSpan w:val="2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0"/>
                <w:szCs w:val="10"/>
                <w:color w:val="auto"/>
                <w:w w:val="86"/>
              </w:rPr>
              <w:t xml:space="preserve">DA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  <w:gridSpan w:val="2"/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0"/>
                <w:szCs w:val="10"/>
                <w:color w:val="auto"/>
              </w:rPr>
              <w:t xml:space="preserve">C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  <w:gridSpan w:val="3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0"/>
                <w:szCs w:val="10"/>
                <w:color w:val="auto"/>
              </w:rPr>
              <w:t xml:space="preserve">B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  <w:gridSpan w:val="3"/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0"/>
                <w:szCs w:val="10"/>
                <w:color w:val="auto"/>
              </w:rPr>
              <w:t xml:space="preserve">E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4"/>
        </w:trPr>
        <w:tc>
          <w:tcPr>
            <w:tcW w:w="34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0"/>
                <w:szCs w:val="10"/>
                <w:color w:val="auto"/>
              </w:rPr>
              <w:t xml:space="preserve">20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  <w:vMerge w:val="restart"/>
            <w:textDirection w:val="btLr"/>
          </w:tcPr>
          <w:p>
            <w:pPr xmlns:w="http://schemas.openxmlformats.org/wordprocessingml/2006/main">
              <w:ind w:right="5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0"/>
                <w:szCs w:val="10"/>
                <w:color w:val="auto"/>
                <w:w w:val="98"/>
              </w:rPr>
              <w:t xml:space="preserve">9%22.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vMerge w:val="restart"/>
            <w:textDirection w:val="btLr"/>
          </w:tcPr>
          <w:p>
            <w:pPr xmlns:w="http://schemas.openxmlformats.org/wordprocessingml/2006/main"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0"/>
                <w:szCs w:val="10"/>
                <w:color w:val="auto"/>
                <w:w w:val="98"/>
              </w:rPr>
              <w:t xml:space="preserve">5%22.</w:t>
            </w:r>
          </w:p>
        </w:tc>
        <w:tc>
          <w:tcPr>
            <w:tcW w:w="200" w:type="dxa"/>
            <w:vAlign w:val="bottom"/>
            <w:gridSpan w:val="2"/>
            <w:vMerge w:val="restart"/>
            <w:textDirection w:val="btLr"/>
          </w:tcPr>
          <w:p>
            <w:pPr xmlns:w="http://schemas.openxmlformats.org/wordprocessingml/2006/main">
              <w:ind w:right="44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0"/>
                <w:szCs w:val="10"/>
                <w:color w:val="auto"/>
                <w:w w:val="98"/>
              </w:rPr>
              <w:t xml:space="preserve">1%23.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  <w:vMerge w:val="restart"/>
            <w:textDirection w:val="btLr"/>
          </w:tcPr>
          <w:p>
            <w:pPr xmlns:w="http://schemas.openxmlformats.org/wordprocessingml/2006/main">
              <w:ind w:left="23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0"/>
                <w:szCs w:val="10"/>
                <w:color w:val="auto"/>
                <w:w w:val="98"/>
              </w:rPr>
              <w:t xml:space="preserve">5%18.</w:t>
            </w:r>
          </w:p>
        </w:tc>
        <w:tc>
          <w:tcPr>
            <w:tcW w:w="200" w:type="dxa"/>
            <w:vAlign w:val="bottom"/>
            <w:vMerge w:val="restart"/>
            <w:textDirection w:val="btLr"/>
          </w:tcPr>
          <w:p>
            <w:pPr xmlns:w="http://schemas.openxmlformats.org/wordprocessingml/2006/main"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0"/>
                <w:szCs w:val="10"/>
                <w:color w:val="auto"/>
                <w:w w:val="98"/>
              </w:rPr>
              <w:t xml:space="preserve">0%19.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vMerge w:val="restart"/>
            <w:textDirection w:val="btLr"/>
          </w:tcPr>
          <w:p>
            <w:pPr xmlns:w="http://schemas.openxmlformats.org/wordprocessingml/2006/main"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0"/>
                <w:szCs w:val="10"/>
                <w:color w:val="auto"/>
                <w:w w:val="96"/>
              </w:rPr>
              <w:t xml:space="preserve">3,9.</w:t>
            </w:r>
          </w:p>
        </w:tc>
        <w:tc>
          <w:tcPr>
            <w:tcW w:w="200" w:type="dxa"/>
            <w:vAlign w:val="bottom"/>
            <w:vMerge w:val="restart"/>
            <w:textDirection w:val="btLr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0"/>
                <w:szCs w:val="10"/>
                <w:color w:val="auto"/>
                <w:w w:val="96"/>
              </w:rPr>
              <w:t xml:space="preserve">9 proc. 9.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  <w:textDirection w:val="btLr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0"/>
                <w:szCs w:val="10"/>
                <w:color w:val="auto"/>
                <w:w w:val="98"/>
              </w:rPr>
              <w:t xml:space="preserve">3,10.</w:t>
            </w:r>
          </w:p>
        </w:tc>
        <w:tc>
          <w:tcPr>
            <w:tcW w:w="280" w:type="dxa"/>
            <w:vAlign w:val="bottom"/>
            <w:gridSpan w:val="2"/>
            <w:vMerge w:val="restart"/>
            <w:textDirection w:val="btLr"/>
          </w:tcPr>
          <w:p>
            <w:pPr xmlns:w="http://schemas.openxmlformats.org/wordprocessingml/2006/main"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0"/>
                <w:szCs w:val="10"/>
                <w:color w:val="auto"/>
                <w:w w:val="98"/>
              </w:rPr>
              <w:t xml:space="preserve">0%11.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vMerge w:val="restart"/>
            <w:textDirection w:val="btLr"/>
          </w:tcPr>
          <w:p>
            <w:pPr xmlns:w="http://schemas.openxmlformats.org/wordprocessingml/2006/main">
              <w:ind w:right="8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0"/>
                <w:szCs w:val="10"/>
                <w:color w:val="auto"/>
                <w:w w:val="98"/>
              </w:rPr>
              <w:t xml:space="preserve">3,38.</w:t>
            </w:r>
          </w:p>
        </w:tc>
        <w:tc>
          <w:tcPr>
            <w:tcW w:w="200" w:type="dxa"/>
            <w:vAlign w:val="bottom"/>
            <w:vMerge w:val="restart"/>
            <w:textDirection w:val="btLr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0"/>
                <w:szCs w:val="10"/>
                <w:color w:val="auto"/>
                <w:w w:val="98"/>
              </w:rPr>
              <w:t xml:space="preserve">5% 39.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vMerge w:val="restart"/>
            <w:textDirection w:val="btLr"/>
          </w:tcPr>
          <w:p>
            <w:pPr xmlns:w="http://schemas.openxmlformats.org/wordprocessingml/2006/main">
              <w:ind w:right="15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0"/>
                <w:szCs w:val="10"/>
                <w:color w:val="auto"/>
                <w:w w:val="96"/>
              </w:rPr>
              <w:t xml:space="preserve">1,8.</w:t>
            </w:r>
          </w:p>
        </w:tc>
        <w:tc>
          <w:tcPr>
            <w:tcW w:w="120" w:type="dxa"/>
            <w:vAlign w:val="bottom"/>
            <w:vMerge w:val="restart"/>
            <w:textDirection w:val="btLr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0"/>
                <w:szCs w:val="10"/>
                <w:color w:val="auto"/>
                <w:w w:val="96"/>
              </w:rPr>
              <w:t xml:space="preserve">0%9.</w:t>
            </w:r>
          </w:p>
        </w:tc>
        <w:tc>
          <w:tcPr>
            <w:tcW w:w="340" w:type="dxa"/>
            <w:vAlign w:val="bottom"/>
            <w:gridSpan w:val="3"/>
            <w:vMerge w:val="restart"/>
            <w:textDirection w:val="btLr"/>
          </w:tcPr>
          <w:p>
            <w:pPr xmlns:w="http://schemas.openxmlformats.org/wordprocessingml/2006/main">
              <w:ind w:right="56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0"/>
                <w:szCs w:val="10"/>
                <w:color w:val="auto"/>
                <w:w w:val="98"/>
              </w:rPr>
              <w:t xml:space="preserve">4,33.</w:t>
            </w:r>
          </w:p>
        </w:tc>
        <w:tc>
          <w:tcPr>
            <w:tcW w:w="200" w:type="dxa"/>
            <w:vAlign w:val="bottom"/>
            <w:vMerge w:val="restart"/>
            <w:textDirection w:val="btLr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0"/>
                <w:szCs w:val="10"/>
                <w:color w:val="auto"/>
                <w:w w:val="98"/>
              </w:rPr>
              <w:t xml:space="preserve">7% 32.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5"/>
        </w:trPr>
        <w:tc>
          <w:tcPr>
            <w:tcW w:w="340" w:type="dxa"/>
            <w:vAlign w:val="bottom"/>
            <w:vMerge w:val="continue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  <w:textDirection w:val="btLr"/>
          </w:tcPr>
          <w:p>
            <w:pPr xmlns:w="http://schemas.openxmlformats.org/wordprocessingml/2006/main">
              <w:ind w:right="14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0"/>
                <w:szCs w:val="10"/>
                <w:color w:val="auto"/>
                <w:w w:val="98"/>
              </w:rPr>
              <w:t xml:space="preserve">3%22.</w:t>
            </w:r>
          </w:p>
        </w:tc>
        <w:tc>
          <w:tcPr>
            <w:tcW w:w="200" w:type="dxa"/>
            <w:vAlign w:val="bottom"/>
            <w:vMerge w:val="continue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  <w:vMerge w:val="continue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  <w:vMerge w:val="continue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  <w:vMerge w:val="continue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  <w:vMerge w:val="continue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  <w:vMerge w:val="continue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7"/>
        </w:trPr>
        <w:tc>
          <w:tcPr>
            <w:tcW w:w="34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0"/>
                <w:szCs w:val="10"/>
                <w:color w:val="auto"/>
              </w:rPr>
              <w:t xml:space="preserve">40 proc.</w:t>
            </w:r>
          </w:p>
        </w:tc>
        <w:tc>
          <w:tcPr>
            <w:tcW w:w="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340" w:type="dxa"/>
            <w:vAlign w:val="bottom"/>
          </w:tcPr>
          <w:p>
            <w:pPr xmlns:w="http://schemas.openxmlformats.org/wordprocessingml/2006/main">
              <w:jc w:val="right"/>
              <w:ind w:right="153"/>
              <w:spacing w:after="0" w:line="5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6"/>
                <w:szCs w:val="6"/>
                <w:color w:val="auto"/>
              </w:rPr>
              <w:t xml:space="preserve">30</w:t>
            </w:r>
          </w:p>
        </w:tc>
        <w:tc>
          <w:tcPr>
            <w:tcW w:w="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CCCCC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CCCCC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CCCCC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CCCCC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CCCCC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CCCCC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CCCCC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CCCCC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CCCCC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CCCCC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CCCCC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CCCCC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CCCCC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CCCCC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CCCCC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CCCCC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CCCCC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CCCCC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CCCCC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CCCCCC"/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CCCCCC"/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CCCCC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CCCCC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CCCCC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CCCCC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CCCCC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CCCCCC"/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CCCCC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CCCCC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CCCCC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2"/>
        </w:trPr>
        <w:tc>
          <w:tcPr>
            <w:tcW w:w="34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0"/>
                <w:szCs w:val="10"/>
                <w:color w:val="auto"/>
              </w:rPr>
              <w:t xml:space="preserve">10</w:t>
            </w:r>
          </w:p>
        </w:tc>
        <w:tc>
          <w:tcPr>
            <w:tcW w:w="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2"/>
        </w:trPr>
        <w:tc>
          <w:tcPr>
            <w:tcW w:w="3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CCCCCC"/>
              <w:bottom w:val="single" w:sz="8" w:color="CCCCCC"/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CCCCCC"/>
              <w:bottom w:val="single" w:sz="8" w:color="CCCCCC"/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CCCCCC"/>
              <w:bottom w:val="single" w:sz="8" w:color="CCCCCC"/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CCCCCC"/>
              <w:bottom w:val="single" w:sz="8" w:color="CCCCCC"/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CCCCCC"/>
              <w:bottom w:val="single" w:sz="8" w:color="CCCCC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CCCCCC"/>
              <w:bottom w:val="single" w:sz="8" w:color="CCCCCC"/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CCCCCC"/>
              <w:bottom w:val="single" w:sz="8" w:color="CCCCCC"/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auto"/>
              <w:bottom w:val="single" w:sz="8" w:color="CCCCCC"/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auto"/>
              <w:bottom w:val="single" w:sz="8" w:color="CCCCCC"/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CCCCCC"/>
              <w:bottom w:val="single" w:sz="8" w:color="CCCCC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CCCCCC"/>
              <w:bottom w:val="single" w:sz="8" w:color="CCCCC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CCCCCC"/>
              <w:bottom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CCCCCC"/>
              <w:bottom w:val="single" w:sz="8" w:color="CCCCC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CCCCCC"/>
              <w:bottom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CCCCCC"/>
              <w:bottom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CCCCCC"/>
              <w:bottom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CCCCCC"/>
              <w:bottom w:val="single" w:sz="8" w:color="CCCCC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CCCCCC"/>
              <w:bottom w:val="single" w:sz="8" w:color="CCCCC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CCCCCC"/>
              <w:bottom w:val="single" w:sz="8" w:color="CCCCC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CCCCCC"/>
              <w:bottom w:val="single" w:sz="8" w:color="CCCCCC"/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CCCCCC"/>
              <w:bottom w:val="single" w:sz="8" w:color="CCCCCC"/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CCCCCC"/>
              <w:bottom w:val="single" w:sz="8" w:color="CCCCCC"/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CCCCCC"/>
              <w:bottom w:val="single" w:sz="8" w:color="CCCCC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CCCCCC"/>
              <w:bottom w:val="single" w:sz="8" w:color="CCCCC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CCCCCC"/>
              <w:bottom w:val="single" w:sz="8" w:color="CCCCC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CCCCCC"/>
              <w:bottom w:val="single" w:sz="8" w:color="CCCCC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CCCCCC"/>
              <w:bottom w:val="single" w:sz="8" w:color="CCCCC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CCCCCC"/>
              <w:bottom w:val="single" w:sz="8" w:color="CCCCCC"/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CCCCCC"/>
              <w:bottom w:val="single" w:sz="8" w:color="CCCCCC"/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CCCCCC"/>
              <w:bottom w:val="single" w:sz="8" w:color="CCCCCC"/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CCCCCC"/>
              <w:bottom w:val="single" w:sz="8" w:color="CCCCC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CCCCCC"/>
              <w:bottom w:val="single" w:sz="8" w:color="CCCCC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CCCCCC"/>
              <w:bottom w:val="single" w:sz="8" w:color="CCCCC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340" w:type="dxa"/>
            <w:vAlign w:val="bottom"/>
          </w:tcPr>
          <w:p>
            <w:pPr xmlns:w="http://schemas.openxmlformats.org/wordprocessingml/2006/main">
              <w:jc w:val="right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0"/>
                <w:szCs w:val="10"/>
                <w:color w:val="auto"/>
              </w:rPr>
              <w:t xml:space="preserve">0</w:t>
            </w:r>
          </w:p>
        </w:tc>
        <w:tc>
          <w:tcPr>
            <w:tcW w:w="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34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0"/>
                <w:szCs w:val="10"/>
                <w:color w:val="auto"/>
                <w:w w:val="82"/>
              </w:rPr>
              <w:t xml:space="preserve">- 10</w:t>
            </w:r>
          </w:p>
        </w:tc>
        <w:tc>
          <w:tcPr>
            <w:tcW w:w="8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CCCCCC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CCCCCC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CCCCCC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CCCCC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CCCCCC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CCCCCC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CCCCCC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3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34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0"/>
                <w:szCs w:val="10"/>
                <w:color w:val="auto"/>
                <w:w w:val="82"/>
              </w:rPr>
              <w:t xml:space="preserve">-20</w:t>
            </w:r>
          </w:p>
        </w:tc>
        <w:tc>
          <w:tcPr>
            <w:tcW w:w="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vMerge w:val="restart"/>
            <w:textDirection w:val="btLr"/>
          </w:tcPr>
          <w:p>
            <w:pPr xmlns:w="http://schemas.openxmlformats.org/wordprocessingml/2006/main">
              <w:ind w:right="34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4"/>
                <w:szCs w:val="4"/>
                <w:color w:val="auto"/>
                <w:w w:val="78"/>
              </w:rPr>
              <w:t xml:space="preserve">- 12,8%</w:t>
            </w:r>
          </w:p>
        </w:tc>
        <w:tc>
          <w:tcPr>
            <w:tcW w:w="200" w:type="dxa"/>
            <w:vAlign w:val="bottom"/>
            <w:vMerge w:val="restart"/>
            <w:textDirection w:val="btLr"/>
          </w:tcPr>
          <w:p>
            <w:pPr xmlns:w="http://schemas.openxmlformats.org/wordprocessingml/2006/main"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4"/>
                <w:szCs w:val="4"/>
                <w:color w:val="auto"/>
                <w:w w:val="78"/>
              </w:rPr>
              <w:t xml:space="preserve">- 12.0%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"/>
        </w:trPr>
        <w:tc>
          <w:tcPr>
            <w:tcW w:w="3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CCCCC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CCCCC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CCCCC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CCCCC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CCCCC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CCCCC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CCCCC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CCCCC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CCCCC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CCCCC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CCCCC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CCCCC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CCCCC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CCCCC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CCCCC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CCCCC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CCCCC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CCCCCC"/>
            </w:tcBorders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CCCCCC"/>
            </w:tcBorders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CCCCC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CCCCC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CCCCC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CCCCC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CCCCC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CCCCC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CCCCC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CCCCC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CCCCC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CCCCC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CCCCC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CCCCC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auto"/>
              <w:bottom w:val="single" w:sz="8" w:color="CCCCCC"/>
            </w:tcBorders>
            <w:textDirection w:val="btLr"/>
          </w:tcPr>
          <w:p>
            <w:pPr xmlns:w="http://schemas.openxmlformats.org/wordprocessingml/2006/main">
              <w:ind w:right="57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"/>
                <w:szCs w:val="1"/>
                <w:color w:val="auto"/>
                <w:w w:val="61"/>
              </w:rPr>
              <w:t xml:space="preserve">- 17,0%</w:t>
            </w:r>
          </w:p>
        </w:tc>
        <w:tc>
          <w:tcPr>
            <w:tcW w:w="200" w:type="dxa"/>
            <w:vAlign w:val="bottom"/>
            <w:tcBorders>
              <w:bottom w:val="single" w:sz="8" w:color="CCCCCC"/>
            </w:tcBorders>
            <w:textDirection w:val="btLr"/>
          </w:tcPr>
          <w:p>
            <w:pPr xmlns:w="http://schemas.openxmlformats.org/wordprocessingml/2006/main"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"/>
                <w:szCs w:val="1"/>
                <w:color w:val="auto"/>
                <w:w w:val="61"/>
              </w:rPr>
              <w:t xml:space="preserve">- 16,5%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3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8"/>
        </w:trPr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</w:tcBorders>
            <w:gridSpan w:val="3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</w:tcBorders>
            <w:gridSpan w:val="4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</w:tcPr>
          <w:p>
            <w:pPr xmlns:w="http://schemas.openxmlformats.org/wordprocessingml/2006/main">
              <w:jc w:val="right"/>
              <w:ind w:right="3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0"/>
                <w:szCs w:val="10"/>
                <w:color w:val="auto"/>
              </w:rPr>
              <w:t xml:space="preserve">2013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80" w:type="dxa"/>
            <w:vAlign w:val="bottom"/>
            <w:gridSpan w:val="3"/>
          </w:tcPr>
          <w:p>
            <w:pPr xmlns:w="http://schemas.openxmlformats.org/wordprocessingml/2006/main">
              <w:jc w:val="right"/>
              <w:ind w:righ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0"/>
                <w:szCs w:val="10"/>
                <w:color w:val="auto"/>
              </w:rPr>
              <w:t xml:space="preserve">2014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</w:tcPr>
          <w:p>
            <w:pPr xmlns:w="http://schemas.openxmlformats.org/wordprocessingml/2006/main">
              <w:jc w:val="right"/>
              <w:ind w:right="3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0"/>
                <w:szCs w:val="10"/>
                <w:color w:val="auto"/>
              </w:rPr>
              <w:t xml:space="preserve">2015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80" w:type="dxa"/>
            <w:vAlign w:val="bottom"/>
            <w:gridSpan w:val="2"/>
          </w:tcPr>
          <w:p>
            <w:pPr xmlns:w="http://schemas.openxmlformats.org/wordprocessingml/2006/main">
              <w:jc w:val="right"/>
              <w:ind w:right="3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0"/>
                <w:szCs w:val="10"/>
                <w:color w:val="auto"/>
              </w:rPr>
              <w:t xml:space="preserve">2016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80" w:type="dxa"/>
            <w:vAlign w:val="bottom"/>
            <w:gridSpan w:val="3"/>
          </w:tcPr>
          <w:p>
            <w:pPr xmlns:w="http://schemas.openxmlformats.org/wordprocessingml/2006/main">
              <w:jc w:val="right"/>
              <w:ind w:righ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0"/>
                <w:szCs w:val="10"/>
                <w:color w:val="auto"/>
              </w:rPr>
              <w:t xml:space="preserve">2017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</w:tcPr>
          <w:p>
            <w:pPr xmlns:w="http://schemas.openxmlformats.org/wordprocessingml/2006/main">
              <w:jc w:val="right"/>
              <w:ind w:righ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0"/>
                <w:szCs w:val="10"/>
                <w:color w:val="auto"/>
              </w:rPr>
              <w:t xml:space="preserve">2018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80" w:type="dxa"/>
            <w:vAlign w:val="bottom"/>
            <w:gridSpan w:val="2"/>
          </w:tcPr>
          <w:p>
            <w:pPr xmlns:w="http://schemas.openxmlformats.org/wordprocessingml/2006/main">
              <w:jc w:val="right"/>
              <w:ind w:right="3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0"/>
                <w:szCs w:val="10"/>
                <w:color w:val="auto"/>
              </w:rPr>
              <w:t xml:space="preserve">2019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  <w:gridSpan w:val="2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0"/>
                <w:szCs w:val="10"/>
                <w:color w:val="auto"/>
              </w:rPr>
              <w:t xml:space="preserve">2020</w:t>
            </w:r>
          </w:p>
        </w:tc>
        <w:tc>
          <w:tcPr>
            <w:tcW w:w="540" w:type="dxa"/>
            <w:vAlign w:val="bottom"/>
            <w:gridSpan w:val="4"/>
          </w:tcPr>
          <w:p>
            <w:pPr xmlns:w="http://schemas.openxmlformats.org/wordprocessingml/2006/main">
              <w:jc w:val="right"/>
              <w:ind w:right="3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0"/>
                <w:szCs w:val="10"/>
                <w:color w:val="auto"/>
              </w:rPr>
              <w:t xml:space="preserve">2021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</w:tcPr>
          <w:p>
            <w:pPr xmlns:w="http://schemas.openxmlformats.org/wordprocessingml/2006/main">
              <w:jc w:val="right"/>
              <w:ind w:right="75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0"/>
                <w:szCs w:val="10"/>
                <w:color w:val="auto"/>
              </w:rPr>
              <w:t xml:space="preserve">2022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D6D1D1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D6D1D1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380" w:type="dxa"/>
            <w:vAlign w:val="bottom"/>
            <w:tcBorders>
              <w:bottom w:val="single" w:sz="8" w:color="D6D1D1"/>
            </w:tcBorders>
            <w:gridSpan w:val="17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D6D1D1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D6D1D1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D6D1D1"/>
            </w:tcBorders>
            <w:gridSpan w:val="6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D6D1D1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D6D1D1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380" w:type="dxa"/>
            <w:vAlign w:val="bottom"/>
            <w:gridSpan w:val="17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0"/>
                <w:szCs w:val="10"/>
                <w:color w:val="auto"/>
              </w:rPr>
              <w:t xml:space="preserve">Amundi MSCI Water ESG Screened UCITS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  <w:gridSpan w:val="6"/>
          </w:tcPr>
          <w:p>
            <w:pPr xmlns:w="http://schemas.openxmlformats.org/wordprocessingml/2006/main">
              <w:jc w:val="right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0"/>
                <w:szCs w:val="10"/>
                <w:color w:val="auto"/>
              </w:rPr>
              <w:t xml:space="preserve">Wskaźnik referencyjny</w:t>
            </w:r>
          </w:p>
        </w:tc>
        <w:tc>
          <w:tcPr>
            <w:tcW w:w="200" w:type="dxa"/>
            <w:vAlign w:val="bottom"/>
            <w:tcBorders>
              <w:right w:val="single" w:sz="8" w:color="D6D1D1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D6D1D1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D6D1D1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D6D1D1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D6D1D1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D6D1D1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D6D1D1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D6D1D1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D6D1D1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D6D1D1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D6D1D1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D6D1D1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D6D1D1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D6D1D1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D6D1D1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D6D1D1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D6D1D1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D6D1D1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D6D1D1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D6D1D1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D6D1D1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D6D1D1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D6D1D1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D6D1D1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D6D1D1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D6D1D1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D6D1D1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D6D1D1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D6D1D1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D6D1D1"/>
              <w:right w:val="single" w:sz="8" w:color="D6D1D1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269875</wp:posOffset>
            </wp:positionH>
            <wp:positionV relativeFrom="paragraph">
              <wp:posOffset>-1208405</wp:posOffset>
            </wp:positionV>
            <wp:extent cx="2981960" cy="87503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960" cy="875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811530</wp:posOffset>
            </wp:positionH>
            <wp:positionV relativeFrom="paragraph">
              <wp:posOffset>-113665</wp:posOffset>
            </wp:positionV>
            <wp:extent cx="73025" cy="73025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2524760</wp:posOffset>
            </wp:positionH>
            <wp:positionV relativeFrom="paragraph">
              <wp:posOffset>-113665</wp:posOffset>
            </wp:positionV>
            <wp:extent cx="73025" cy="73025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302895</wp:posOffset>
            </wp:positionH>
            <wp:positionV relativeFrom="paragraph">
              <wp:posOffset>-1758315</wp:posOffset>
            </wp:positionV>
            <wp:extent cx="2602865" cy="8636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2865" cy="86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36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7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Wydajność nie jest stała w czasie i nie stanowi gwarancji przyszłych wyników.</w:t>
      </w:r>
    </w:p>
    <w:p>
      <w:pPr xmlns:w="http://schemas.openxmlformats.org/wordprocessingml/2006/main">
        <w:spacing w:after="0" w:line="26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Wyniki prezentowane na wykresie w ujęciu rocznym obliczane są po odliczeniu wszystkich opłat pobieranych przez Fundusz.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SICAV został utworzony 6 września 2018 roku.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Walutą referencyjną jest</w:t>
      </w:r>
    </w:p>
    <w:p>
      <w:pPr>
        <w:spacing w:after="0" w:line="1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euro.</w:t>
      </w:r>
    </w:p>
    <w:p>
      <w:pPr>
        <w:spacing w:after="0" w:line="1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7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W przypadku gdy indeks referencyjny jest denominowany w walucie innej niż waluta funduszu, wyniki indeksu referencyjnego są najpierw przeliczane na walutę funduszu w celu zapewnienia jasności i porównania.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W tym celu codziennie do wartości Indeksu Referencyjnego stosowana jest transakcja walutowa (po cenie WM Reuters o godzinie 17:00 w danym dniu).</w:t>
      </w:r>
    </w:p>
    <w:p>
      <w:pPr>
        <w:spacing w:after="0" w:line="979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5140" w:space="200"/>
            <w:col w:w="4560"/>
          </w:cols>
          <w:pgMar w:left="1000" w:top="1088" w:right="1006" w:bottom="0" w:gutter="0" w:footer="0" w:header="0"/>
          <w:type w:val="continuous"/>
        </w:sectPr>
      </w:pPr>
    </w:p>
    <w:p>
      <w:pPr xmlns:w="http://schemas.openxmlformats.org/wordprocessingml/2006/main">
        <w:ind w:left="220" w:hanging="120"/>
        <w:spacing w:after="0"/>
        <w:tabs>
          <w:tab w:leader="none" w:pos="220" w:val="left"/>
        </w:tabs>
        <w:numPr>
          <w:ilvl w:val="0"/>
          <w:numId w:val="1"/>
        </w:numPr>
        <w:rPr>
          <w:rFonts w:ascii="Arial" w:cs="Arial" w:eastAsia="Arial" w:hAnsi="Arial"/>
          <w:sz w:val="10"/>
          <w:szCs w:val="1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0"/>
          <w:szCs w:val="10"/>
          <w:color w:val="auto"/>
        </w:rPr>
        <w:t xml:space="preserve">Do 26 października 2021 r. Indeks Referencyjny Funduszu był World Water cw Total Return Index.</w:t>
      </w:r>
    </w:p>
    <w:p>
      <w:pPr>
        <w:spacing w:after="0" w:line="85" w:lineRule="exact"/>
        <w:rPr>
          <w:rFonts w:ascii="Arial" w:cs="Arial" w:eastAsia="Arial" w:hAnsi="Arial"/>
          <w:sz w:val="10"/>
          <w:szCs w:val="10"/>
          <w:color w:val="auto"/>
        </w:rPr>
      </w:pPr>
    </w:p>
    <w:p>
      <w:pPr xmlns:w="http://schemas.openxmlformats.org/wordprocessingml/2006/main">
        <w:ind w:left="100" w:right="4840"/>
        <w:spacing w:after="0" w:line="266" w:lineRule="auto"/>
        <w:tabs>
          <w:tab w:leader="none" w:pos="222" w:val="left"/>
        </w:tabs>
        <w:numPr>
          <w:ilvl w:val="0"/>
          <w:numId w:val="1"/>
        </w:numPr>
        <w:rPr>
          <w:rFonts w:ascii="Arial" w:cs="Arial" w:eastAsia="Arial" w:hAnsi="Arial"/>
          <w:sz w:val="9"/>
          <w:szCs w:val="9"/>
          <w:color w:val="auto"/>
        </w:rPr>
      </w:pPr>
      <w:r>
        <w:rPr xmlns:w="http://schemas.openxmlformats.org/wordprocessingml/2006/main">
          <w:rFonts w:ascii="Arial" w:cs="Arial" w:eastAsia="Arial" w:hAnsi="Arial"/>
          <w:sz w:val="9"/>
          <w:szCs w:val="9"/>
          <w:color w:val="auto"/>
        </w:rPr>
        <w:t xml:space="preserve">Do dnia 06 września 2018 r. wyniki Funduszu odpowiadały wynikom Funduszu LYXOR WORLD WATER UCITS ETF (Funduszu Wchłoniętego).</w:t>
      </w:r>
      <w:r>
        <w:rPr xmlns:w="http://schemas.openxmlformats.org/wordprocessingml/2006/main">
          <w:rFonts w:ascii="Arial" w:cs="Arial" w:eastAsia="Arial" w:hAnsi="Arial"/>
          <w:sz w:val="9"/>
          <w:szCs w:val="9"/>
          <w:color w:val="auto"/>
        </w:rPr>
        <w:t xml:space="preserve"> Ten ostatni został wchłonięty przez Fundusz w dniu 6 września 2018 r.</w:t>
      </w:r>
    </w:p>
    <w:p>
      <w:pPr xmlns:w="http://schemas.openxmlformats.org/wordprocessingml/2006/main">
        <w:ind w:left="100" w:right="4960"/>
        <w:spacing w:after="0" w:line="208" w:lineRule="auto"/>
        <w:tabs>
          <w:tab w:leader="none" w:pos="228" w:val="left"/>
        </w:tabs>
        <w:numPr>
          <w:ilvl w:val="0"/>
          <w:numId w:val="1"/>
        </w:numPr>
        <w:rPr>
          <w:rFonts w:ascii="Arial" w:cs="Arial" w:eastAsia="Arial" w:hAnsi="Arial"/>
          <w:sz w:val="10"/>
          <w:szCs w:val="1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0"/>
          <w:szCs w:val="10"/>
          <w:color w:val="auto"/>
        </w:rPr>
        <w:t xml:space="preserve">Do dnia 07 października 2020 r. wyniki Funduszu odpowiadały pośredniemu powieleniu Indeksu Referencyjnego.</w:t>
      </w:r>
      <w:r>
        <w:rPr xmlns:w="http://schemas.openxmlformats.org/wordprocessingml/2006/main">
          <w:rFonts w:ascii="Arial" w:cs="Arial" w:eastAsia="Arial" w:hAnsi="Arial"/>
          <w:sz w:val="10"/>
          <w:szCs w:val="10"/>
          <w:color w:val="auto"/>
        </w:rPr>
        <w:t xml:space="preserve"> Od dnia 8 października 2020 r. wyniki Funduszu odpowiadają bezpośredniemu powieleniu Indeksu Referencyjnego.</w:t>
      </w:r>
    </w:p>
    <w:p>
      <w:pPr>
        <w:spacing w:after="0" w:line="1" w:lineRule="exact"/>
        <w:rPr>
          <w:rFonts w:ascii="Arial" w:cs="Arial" w:eastAsia="Arial" w:hAnsi="Arial"/>
          <w:sz w:val="10"/>
          <w:szCs w:val="10"/>
          <w:color w:val="auto"/>
        </w:rPr>
      </w:pPr>
    </w:p>
    <w:p>
      <w:pPr xmlns:w="http://schemas.openxmlformats.org/wordprocessingml/2006/main">
        <w:ind w:left="100" w:right="4840"/>
        <w:spacing w:after="0" w:line="231" w:lineRule="auto"/>
        <w:tabs>
          <w:tab w:leader="none" w:pos="228" w:val="left"/>
        </w:tabs>
        <w:numPr>
          <w:ilvl w:val="0"/>
          <w:numId w:val="1"/>
        </w:numPr>
        <w:rPr>
          <w:rFonts w:ascii="Arial" w:cs="Arial" w:eastAsia="Arial" w:hAnsi="Arial"/>
          <w:sz w:val="9"/>
          <w:szCs w:val="9"/>
          <w:color w:val="auto"/>
        </w:rPr>
      </w:pPr>
      <w:r>
        <w:rPr xmlns:w="http://schemas.openxmlformats.org/wordprocessingml/2006/main">
          <w:rFonts w:ascii="Arial" w:cs="Arial" w:eastAsia="Arial" w:hAnsi="Arial"/>
          <w:sz w:val="9"/>
          <w:szCs w:val="9"/>
          <w:color w:val="auto"/>
        </w:rPr>
        <w:t xml:space="preserve">Do dnia 06 września 2018 r. wyniki Funduszu odpowiadały wynikom Funduszu LYXOR WORLD WATER UCITS ETF (Funduszu Wchłoniętego).</w:t>
      </w:r>
      <w:r>
        <w:rPr xmlns:w="http://schemas.openxmlformats.org/wordprocessingml/2006/main">
          <w:rFonts w:ascii="Arial" w:cs="Arial" w:eastAsia="Arial" w:hAnsi="Arial"/>
          <w:sz w:val="9"/>
          <w:szCs w:val="9"/>
          <w:color w:val="auto"/>
        </w:rPr>
        <w:t xml:space="preserve"> Ten ostatni został wchłonięty przez Fundusz w dniu 6 września 2018 r.</w:t>
      </w:r>
    </w:p>
    <w:p>
      <w:pPr xmlns:w="http://schemas.openxmlformats.org/wordprocessingml/2006/main">
        <w:ind w:left="100" w:right="4960"/>
        <w:spacing w:after="0" w:line="212" w:lineRule="auto"/>
        <w:tabs>
          <w:tab w:leader="none" w:pos="222" w:val="left"/>
        </w:tabs>
        <w:numPr>
          <w:ilvl w:val="0"/>
          <w:numId w:val="1"/>
        </w:numPr>
        <w:rPr>
          <w:rFonts w:ascii="Arial" w:cs="Arial" w:eastAsia="Arial" w:hAnsi="Arial"/>
          <w:sz w:val="10"/>
          <w:szCs w:val="1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0"/>
          <w:szCs w:val="10"/>
          <w:color w:val="auto"/>
        </w:rPr>
        <w:t xml:space="preserve">Do dnia 07 października 2020 r. wyniki Funduszu odpowiadały pośredniemu powieleniu Indeksu Referencyjnego.</w:t>
      </w:r>
      <w:r>
        <w:rPr xmlns:w="http://schemas.openxmlformats.org/wordprocessingml/2006/main">
          <w:rFonts w:ascii="Arial" w:cs="Arial" w:eastAsia="Arial" w:hAnsi="Arial"/>
          <w:sz w:val="10"/>
          <w:szCs w:val="10"/>
          <w:color w:val="auto"/>
        </w:rPr>
        <w:t xml:space="preserve"> Od dnia 8 października 2020 r. wyniki Funduszu odpowiadają bezpośredniemu powieleniu Indeksu Referencyjnego.</w:t>
      </w:r>
    </w:p>
    <w:p>
      <w:pPr>
        <w:spacing w:after="0" w:line="7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auto"/>
          <w:highlight w:val="darkGray"/>
        </w:rPr>
        <w:t xml:space="preserve">Informacje praktyczne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-137795</wp:posOffset>
                </wp:positionV>
                <wp:extent cx="6290310" cy="151765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0310" cy="151765"/>
                        </a:xfrm>
                        <a:prstGeom prst="rect">
                          <a:avLst/>
                        </a:prstGeom>
                        <a:solidFill>
                          <a:srgbClr val="AFAFAF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3" o:spid="_x0000_s1048" style="position:absolute;margin-left:0pt;margin-top:-10.8499pt;width:495.3pt;height:11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AFAFAF" stroked="f"/>
            </w:pict>
          </mc:Fallback>
        </mc:AlternateConten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30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Nazwa depozytariusza: SOCIETE GENERALE.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12700</wp:posOffset>
            </wp:positionH>
            <wp:positionV relativeFrom="paragraph">
              <wp:posOffset>-96520</wp:posOffset>
            </wp:positionV>
            <wp:extent cx="88900" cy="8890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" cy="8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30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Nazwa animatora rynku: SOCIETE GENERALE / LANG &amp; SCHWARZ.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12700</wp:posOffset>
            </wp:positionH>
            <wp:positionV relativeFrom="paragraph">
              <wp:posOffset>-85090</wp:posOffset>
            </wp:positionV>
            <wp:extent cx="88900" cy="8890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" cy="8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30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Przedstawiciel w Szwajcarii: Société Générale, Paryż, Oddział w Zurychu, Talacker 50, 8001 Zurych.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12700</wp:posOffset>
            </wp:positionH>
            <wp:positionV relativeFrom="paragraph">
              <wp:posOffset>-85090</wp:posOffset>
            </wp:positionV>
            <wp:extent cx="88900" cy="8890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" cy="8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30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Dostawca usług płatniczych w Szwajcarii: Société Générale, Paryż, Oddział w Zurychu, przy Talacker 50, 8001 Zurych.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12700</wp:posOffset>
            </wp:positionH>
            <wp:positionV relativeFrom="paragraph">
              <wp:posOffset>-85090</wp:posOffset>
            </wp:positionV>
            <wp:extent cx="88900" cy="8890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" cy="8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300"/>
        <w:spacing w:after="0" w:line="26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Najnowszy prospekt emisyjny oraz najnowsze dokumenty okresowych ujawnień, a także wszelkie inne przydatne informacje, są dostępne nieodpłatnie od Spółki Zarządzającej.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12700</wp:posOffset>
            </wp:positionH>
            <wp:positionV relativeFrom="paragraph">
              <wp:posOffset>-211455</wp:posOffset>
            </wp:positionV>
            <wp:extent cx="88900" cy="8890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" cy="8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30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Zaktualizowane szczegóły polityki wynagrodzeń spółki zarządzającej dostępne są na jej stronie internetowej lub nieodpłatnie na pisemny wniosek do nich.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12700</wp:posOffset>
            </wp:positionH>
            <wp:positionV relativeFrom="paragraph">
              <wp:posOffset>-85090</wp:posOffset>
            </wp:positionV>
            <wp:extent cx="88900" cy="8890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" cy="8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300"/>
        <w:spacing w:after="0" w:line="26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Polityka ta opisuje w szczególności metody wyliczania wynagrodzeń i świadczeń niektórych kategorii pracowników, podmioty odpowiedzialne za ich przyznawanie oraz skład Komitetu Wynagrodzeń.</w:t>
      </w:r>
    </w:p>
    <w:p>
      <w:pPr xmlns:w="http://schemas.openxmlformats.org/wordprocessingml/2006/main">
        <w:ind w:left="30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Wartość aktywów netto Funduszu dostępna jest na wniosek Spółki Zarządzającej oraz na jej stronie internetowej amundietf.com.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12700</wp:posOffset>
            </wp:positionH>
            <wp:positionV relativeFrom="paragraph">
              <wp:posOffset>-85090</wp:posOffset>
            </wp:positionV>
            <wp:extent cx="88900" cy="8890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" cy="8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300"/>
        <w:spacing w:after="0" w:line="26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Informacje o animatorach rynku, rynkach akcji i procedurach obrotu dostępne są na stronie internetowej Funduszu pod adresem amundietf.com.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Orientacyjna wartość aktywów netto jest publikowana w czasie rzeczywistym przez operatora giełdy w godzinach sesyjnych.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12700</wp:posOffset>
            </wp:positionH>
            <wp:positionV relativeFrom="paragraph">
              <wp:posOffset>-211455</wp:posOffset>
            </wp:positionV>
            <wp:extent cx="88900" cy="8890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" cy="8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300" w:firstLine="40"/>
        <w:spacing w:after="0" w:line="26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UCITS nie jest dostępne dla rezydentów Stanów Zjednoczonych Ameryki/"U.S. Person", zgodnie z definicją na stronie internetowej Spółki Zarządzającej: amundietf.com i/lub w Prospekcie Emisyjnym.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12700</wp:posOffset>
            </wp:positionH>
            <wp:positionV relativeFrom="paragraph">
              <wp:posOffset>-211455</wp:posOffset>
            </wp:positionV>
            <wp:extent cx="88900" cy="8890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" cy="8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30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Polityka przejrzystości oraz informacje na temat struktury aktywów funduszy są dostępne na stronie internetowej amundietf.com.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12700</wp:posOffset>
            </wp:positionH>
            <wp:positionV relativeFrom="paragraph">
              <wp:posOffset>-85090</wp:posOffset>
            </wp:positionV>
            <wp:extent cx="88900" cy="8890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" cy="8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300"/>
        <w:spacing w:after="0" w:line="26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W zależności od indywidualnej sytuacji podatkowej, zyski kapitałowe i wszelkie dochody związane z posiadaniem papierów wartościowych w Funduszu mogą podlegać opodatkowaniu.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Zalecamy konsultację ze zwykłym doradcą.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12700</wp:posOffset>
            </wp:positionH>
            <wp:positionV relativeFrom="paragraph">
              <wp:posOffset>-211455</wp:posOffset>
            </wp:positionV>
            <wp:extent cx="88900" cy="8890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" cy="8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300"/>
        <w:spacing w:after="0" w:line="29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Amundi Asset Management ponosi odpowiedzialność wyłącznie na podstawie zawartych w niniejszym dokumencie oświadczeń, które wprowadzają w błąd, są niedokładne lub niezgodne z odpowiednimi częściami prospektu emisyjnego UCITS.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12700</wp:posOffset>
            </wp:positionH>
            <wp:positionV relativeFrom="paragraph">
              <wp:posOffset>-235585</wp:posOffset>
            </wp:positionV>
            <wp:extent cx="88900" cy="8890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" cy="8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Fundusz ten jest zatwierdzany we Francji i regulowany przez francuski organ regulacyjny rynku (AMF).</w:t>
      </w:r>
    </w:p>
    <w:p>
      <w:pPr>
        <w:spacing w:after="0" w:line="2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Amundi Asset Management posiada zezwolenie we Francji i jest regulowane przez Autorité des Marchés Financiers (francuski organ regulacyjny rynków finansowych).</w:t>
      </w:r>
    </w:p>
    <w:p>
      <w:pPr>
        <w:spacing w:after="0" w:line="1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Poniższe kluczowe informacje dla inwestorów są aktualne na dzień 12 października 2023 r.</w:t>
      </w:r>
    </w:p>
    <w:p>
      <w:pPr>
        <w:sectPr>
          <w:pgSz w:w="11900" w:h="16838" w:orient="portrait"/>
          <w:cols w:equalWidth="0" w:num="1">
            <w:col w:w="9900"/>
          </w:cols>
          <w:pgMar w:left="1000" w:top="1088" w:right="1006" w:bottom="0" w:gutter="0" w:footer="0" w:header="0"/>
          <w:type w:val="continuous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94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2 / 2</w:t>
      </w:r>
    </w:p>
    <w:sectPr>
      <w:pgSz w:w="11900" w:h="16838" w:orient="portrait"/>
      <w:cols w:equalWidth="0" w:num="1">
        <w:col w:w="9900"/>
      </w:cols>
      <w:pgMar w:left="1000" w:top="1088" w:right="1006" w:bottom="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5978AB85"/>
    <w:multiLevelType w:val="hybridMultilevel"/>
    <w:lvl w:ilvl="0">
      <w:lvlJc w:val="left"/>
      <w:lvlText w:val="%1:"/>
      <w:numFmt w:val="upperLetter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1" Type="http://schemas.openxmlformats.org/officeDocument/2006/relationships/numbering" Target="numbering.xml"/><Relationship Id="rId12" Type="http://schemas.openxmlformats.org/officeDocument/2006/relationships/image" Target="media/image1.jpeg"/><Relationship Id="rId13" Type="http://schemas.openxmlformats.org/officeDocument/2006/relationships/image" Target="media/image2.jpeg"/><Relationship Id="rId14" Type="http://schemas.openxmlformats.org/officeDocument/2006/relationships/image" Target="media/image3.jpeg"/><Relationship Id="rId15" Type="http://schemas.openxmlformats.org/officeDocument/2006/relationships/image" Target="media/image4.jpeg"/><Relationship Id="rId16" Type="http://schemas.openxmlformats.org/officeDocument/2006/relationships/image" Target="media/image5.jpe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20" Type="http://schemas.openxmlformats.org/officeDocument/2006/relationships/image" Target="media/image9.png"/><Relationship Id="rId21" Type="http://schemas.openxmlformats.org/officeDocument/2006/relationships/image" Target="media/image10.jpeg"/><Relationship Id="rId22" Type="http://schemas.openxmlformats.org/officeDocument/2006/relationships/image" Target="media/image11.jpeg"/><Relationship Id="rId23" Type="http://schemas.openxmlformats.org/officeDocument/2006/relationships/image" Target="media/image12.jpeg"/><Relationship Id="rId24" Type="http://schemas.openxmlformats.org/officeDocument/2006/relationships/image" Target="media/image13.jpeg"/><Relationship Id="rId25" Type="http://schemas.openxmlformats.org/officeDocument/2006/relationships/image" Target="media/image14.jpeg"/><Relationship Id="rId26" Type="http://schemas.openxmlformats.org/officeDocument/2006/relationships/image" Target="media/image15.jpeg"/><Relationship Id="rId27" Type="http://schemas.openxmlformats.org/officeDocument/2006/relationships/image" Target="media/image16.jpeg"/><Relationship Id="rId28" Type="http://schemas.openxmlformats.org/officeDocument/2006/relationships/image" Target="media/image17.jpeg"/><Relationship Id="rId29" Type="http://schemas.openxmlformats.org/officeDocument/2006/relationships/image" Target="media/image18.jpeg"/><Relationship Id="rId30" Type="http://schemas.openxmlformats.org/officeDocument/2006/relationships/image" Target="media/image19.jpeg"/><Relationship Id="rId31" Type="http://schemas.openxmlformats.org/officeDocument/2006/relationships/image" Target="media/image20.jpeg"/><Relationship Id="rId32" Type="http://schemas.openxmlformats.org/officeDocument/2006/relationships/image" Target="media/image21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2024-05-21T09:01:03Z</dcterms:created>
  <dcterms:modified xsi:type="dcterms:W3CDTF">2024-05-21T09:01:03Z</dcterms:modified>
</cp:coreProperties>
</file>