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5490210</wp:posOffset>
            </wp:positionH>
            <wp:positionV relativeFrom="page">
              <wp:posOffset>492760</wp:posOffset>
            </wp:positionV>
            <wp:extent cx="1822450" cy="5314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53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DOKUMENT ZAWIERAJĄCY KLUCZOWE INFORMACJE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Przeznaczenie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Produkt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9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Nazwa produktu:</w:t>
            </w: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VanEck Crypto and Blockchain Innovators UCITS ETF ("Produkt"/"PRIIP")</w:t>
            </w:r>
          </w:p>
        </w:tc>
      </w:tr>
      <w:tr>
        <w:trPr>
          <w:trHeight w:val="314"/>
        </w:trPr>
        <w:tc>
          <w:tcPr>
            <w:tcW w:w="19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NUMER ISIN:</w:t>
            </w: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IE00BMDKNW35</w:t>
            </w:r>
          </w:p>
        </w:tc>
      </w:tr>
      <w:tr>
        <w:trPr>
          <w:trHeight w:val="314"/>
        </w:trPr>
        <w:tc>
          <w:tcPr>
            <w:tcW w:w="19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Udostępnij klasę:</w:t>
            </w: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USD A</w:t>
            </w:r>
          </w:p>
        </w:tc>
      </w:tr>
      <w:tr>
        <w:trPr>
          <w:trHeight w:val="418"/>
        </w:trPr>
        <w:tc>
          <w:tcPr>
            <w:tcW w:w="19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Producent PRIIP:</w:t>
            </w: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Fundusze ETF UCITS VanEck plc</w:t>
            </w:r>
          </w:p>
        </w:tc>
      </w:tr>
      <w:tr>
        <w:trPr>
          <w:trHeight w:val="156"/>
        </w:trPr>
        <w:tc>
          <w:tcPr>
            <w:tcW w:w="1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 w:line="156" w:lineRule="exact"/>
              <w:rPr>
                <w:rFonts w:ascii="Arial" w:cs="Arial" w:eastAsia="Arial" w:hAnsi="Arial"/>
                <w:sz w:val="15"/>
                <w:szCs w:val="15"/>
                <w:color w:val="231F20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Strona internetowa producenta PRIIP: </w:t>
            </w:r>
            <w:hyperlink r:id="rId15">
              <w:r>
                <w:rPr xmlns:w="http://schemas.openxmlformats.org/wordprocessingml/2006/main"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www.vaneck.com</w:t>
              </w:r>
            </w:hyperlink>
          </w:p>
        </w:tc>
      </w:tr>
      <w:tr>
        <w:trPr>
          <w:trHeight w:val="20"/>
        </w:trPr>
        <w:tc>
          <w:tcPr>
            <w:tcW w:w="1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0000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Zadzwoń pod numer: +49 69 4056 6950, aby uzyskać więcej informacji.</w:t>
            </w:r>
          </w:p>
        </w:tc>
      </w:tr>
      <w:tr>
        <w:trPr>
          <w:trHeight w:val="383"/>
        </w:trPr>
        <w:tc>
          <w:tcPr>
            <w:tcW w:w="19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Właściwy Organ:</w:t>
            </w: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Central Bank of Ireland (CBI) jest odpowiedzialny za nadzór nad funduszami ETF VanEck UCITS plc w związku z niniejszym dokumentem zawierającym kluczowe informacje</w:t>
            </w:r>
          </w:p>
        </w:tc>
      </w:tr>
      <w:tr>
        <w:trPr>
          <w:trHeight w:val="174"/>
        </w:trPr>
        <w:tc>
          <w:tcPr>
            <w:tcW w:w="1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("DZIECKO").</w:t>
            </w:r>
          </w:p>
        </w:tc>
      </w:tr>
      <w:tr>
        <w:trPr>
          <w:trHeight w:val="186"/>
        </w:trPr>
        <w:tc>
          <w:tcPr>
            <w:tcW w:w="1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40" w:type="dxa"/>
            <w:vAlign w:val="bottom"/>
            <w:gridSpan w:val="3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PRIIP jest autoryzowany w Irlandii.</w:t>
            </w: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1">
            <w:col w:w="11040"/>
          </w:cols>
          <w:pgMar w:left="440" w:top="1319" w:right="420" w:bottom="705" w:gutter="0" w:footer="0" w:header="0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 w:hanging="11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Nazwa spółki zarządzającej UCITS: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Data produkcji dokumentu zawierającego kluczowe informacje: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ind w:right="10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Spółka VanEck Asset Management B.V. posiada zezwolenie na prowadzenie działalności w Niderlandach i jest regulowana przez Niderlandzki Urząd ds. Rynków Finansowych ("AFM").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01 stycznia 2023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960" w:space="420"/>
            <w:col w:w="8660"/>
          </w:cols>
          <w:pgMar w:left="440" w:top="1319" w:right="420" w:bottom="705" w:gutter="0" w:footer="0" w:header="0"/>
          <w:type w:val="continuous"/>
        </w:sectPr>
      </w:pPr>
    </w:p>
    <w:p>
      <w:pPr>
        <w:spacing w:after="0" w:line="11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Co to jest produkt?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Typ: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Termin:</w:t>
      </w:r>
    </w:p>
    <w:p>
      <w:pPr>
        <w:spacing w:after="0" w:line="38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Cel: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Zamierzony Inwestor Detaliczny: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7" w:right="16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Produkt jest subfunduszem UCITS producenta, strukturą funduszu parasolowego obejmującą różne subfundusze.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Produkt jest dopuszczony do obrotu w Irlandii i regulowany przez Central Bank of Ireland (CBI).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Zgodnie z prawem irlandzkim producent rozdzielił odpowiedzialność między swoje subfundusze.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Dokument zawierający kluczowe informacje sporządzany jest na poziomie każdego subfunduszu, natomiast prospekt emisyjny i sprawozdania finansowe sporządzane są na poziomie producenta.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Obecnie Spółka nie oferuje wymiany akcji na akcje innego subfunduszu.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-1416050</wp:posOffset>
            </wp:positionH>
            <wp:positionV relativeFrom="paragraph">
              <wp:posOffset>-681355</wp:posOffset>
            </wp:positionV>
            <wp:extent cx="7010400" cy="146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Brak ustalonego terminu.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Jesteśmy uprawnieni do zakończenia zarządzania Produktem z zachowaniem co najmniej miesięcznego okresu wypowiedzenia dla inwestorów opublikowanego co najmniej na naszej stronie internetowej.</w:t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Celem inwestycyjnym Produktu jest odtworzenie, przed naliczeniem opłat i wydatków, indeksu MVIS® Global Digital Assets Equity Index ("Indeks").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Aby osiągnąć cel inwestycyjny, Zarządzający będzie stosował strategię powielania poprzez bezpośrednie inwestowanie w bazowe udziałowe papiery wartościowe Indeksu, takie jak akcje, amerykańskie kwity depozytowe (ADR) i globalne kwity depozytowe (GDR).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Takie udziałowe papiery wartościowe muszą być emitowane przez przedsiębiorstwa, które generują co najmniej 50 % swoich przychodów z globalnego segmentu aktywów cyfrowych, z przedsiębiorstw zajmujących się półprzewodnikami i przekazami pieniężnymi online notowanych lub będących przedmiotem obrotu na rynkach, o których mowa w dodatku II do prospektu emisyjnego.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celu uniknięcia wątpliwości, w przypadku gdy Indeks już posiada takie udziałowe papiery wartościowe, będzie on dążył do usunięcia zabezpieczenia w sytuacji, gdy odsetek przychodów generowanych przez segment globalnych aktywów cyfrowych, półprzewodników i firm zajmujących się przekazami pieniężnymi online spadnie poniżej 25% przychodów odnośnych przedsiębiorstw.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 przypadku gdy pełne odtworzenie indeksu przez produkt nie jest praktyczne lub opłacalne, kierownik może zastosować zoptymalizowaną metodykę pobierania próbek.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przypadku gdy pełne odtworzenie indeksu przez produkt nie jest praktyczne lub opłacalne, produkt nie skorzysta ze zwiększonych limitów określonych w rozporządzeniu 71 w sprawie UCITS.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Produkt może inwestować do 15% wartości aktywów netto bezpośrednio w akcje emitowane przez spółki notowane na giełdzie w Szanghaju lub na giełdzie w Shenzhen, będące przedmiotem obrotu w walutach obcych i dostępne do inwestowania przez inwestorów krajowych (chińskich) i zagranicznych.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celu uniknięcia wątpliwości Fundusz może inwestować w akcje China 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Akcje China H są emitowane przez emitentów zarejestrowanych w Chinach, którzy prowadzą obrót na giełdzie w Hongkongu.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Fundusz może zainwestować ponad 20% wartości aktywów netto na rynkach wschodzących.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Produkt może również (lub alternatywnie) inwestować w pochodne instrumenty finansowe (BIZ), które odnoszą się do Indeksu lub jego składników.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Instrumenty BIZ, z których produkt może korzystać, to kontrakty terminowe typu future, opcje (transakcje typu put and call), swapy (swapy akcji i swapy na indeksie), terminowe transakcje walutowe typu forward oraz kontrakty terminowe typu forward bez możliwości dostawy (kontrakt terminowy typu forward, który nie wymaga rozliczenia w terminie zapadalności) (NDF).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Produkt może również inwestować w pomocnicze aktywa płynne i instrumenty rynku pieniężnego, które mogą obejmować lokaty bankowe, kwity depozytowe, certyfikaty depozytowe, instrumenty o stałym lub zmiennym oprocentowaniu (bony skarbowe), papiery komercyjne, weksle o zmiennym oprocentowaniu i swobodnie przenaszalne weksle własne.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Pomocnicze aktywa płynne, instrumenty rynku pieniężnego i BIZ (inne niż dozwolone inwestycje nienotowane na giełdzie) będą notowane lub będą przedmiotem obrotu na rynkach, o których mowa w dodatku II do prospektu emisyjnego.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Inwestycje w pomocnicze aktywa płynne i instrumenty rynku pieniężnego mogą być wykorzystywane w różnych okolicznościach, w tym między innymi w sytuacjach takich jak zarządzanie całkowitą ekspozycją na środki pieniężne i pożyczki w perspektywie krótkoterminowej oraz w oczekiwaniu na udział w ofercie praw.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Ponadto Produkt nie może inwestować mniej niż 51 % wartości aktywów netto w kapitałowe papiery wartościowe stanowiące "udziały kapitałowe" w rozumieniu art. 8 ust. 2 niemieckiej ustawy o podatku inwestycyjnym.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Częstotliwość transakcji: Możesz kupować i umarzać udziały w tym Produkcie codziennie i zgodnie z odpowiednim okresem wypowiedzenia.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07" w:hanging="107"/>
        <w:spacing w:after="0"/>
        <w:tabs>
          <w:tab w:leader="none" w:pos="107" w:val="left"/>
        </w:tabs>
        <w:numPr>
          <w:ilvl w:val="0"/>
          <w:numId w:val="1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Waluta bazowa produktu: Dolar amerykański</w:t>
      </w:r>
    </w:p>
    <w:p>
      <w:pPr>
        <w:spacing w:after="0" w:line="13" w:lineRule="exact"/>
        <w:rPr>
          <w:rFonts w:ascii="Arial" w:cs="Arial" w:eastAsia="Arial" w:hAnsi="Arial"/>
          <w:sz w:val="15"/>
          <w:szCs w:val="15"/>
          <w:color w:val="231F20"/>
        </w:rPr>
      </w:pPr>
    </w:p>
    <w:p>
      <w:pPr xmlns:w="http://schemas.openxmlformats.org/wordprocessingml/2006/main">
        <w:ind w:left="87" w:hanging="87"/>
        <w:spacing w:after="0"/>
        <w:tabs>
          <w:tab w:leader="none" w:pos="87" w:val="left"/>
        </w:tabs>
        <w:numPr>
          <w:ilvl w:val="0"/>
          <w:numId w:val="1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Polityka dystrybucji: Zakumulowane dochody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7" w:right="80"/>
        <w:spacing w:after="0" w:line="25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Niniejszy Produkt jest przeznaczony dla wszystkich rodzajów inwestorów, którzy poszukują możliwości wzrostu i/lub optymalizacji kapitału i których horyzont inwestycyjny jest co najmniej równy zalecanemu okresowi utrzymywania kapitału przedstawionemu poniżej.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Tylko ci inwestorzy, którzy mają możliwość podjęcia świadomej decyzji w oparciu o wystarczającą wiedzę i zrozumienie Produktu i rynku oraz zdolność do poniesienia straty do całkowitej straty inwestycji, powinni rozważyć zainwestowanie w Produkt.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Produkt nie oferuje gwarancji kapitału.</w:t>
      </w:r>
    </w:p>
    <w:p>
      <w:pPr>
        <w:sectPr>
          <w:pgSz w:w="11900" w:h="16840" w:orient="portrait"/>
          <w:cols w:equalWidth="0" w:num="2">
            <w:col w:w="1900" w:space="333"/>
            <w:col w:w="8807"/>
          </w:cols>
          <w:pgMar w:left="440" w:top="1319" w:right="420" w:bottom="705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0109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22225" cy="4133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231F20"/>
        </w:rPr>
        <w:t xml:space="preserve"> 1 </w:t>
      </w:r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9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0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231F20"/>
        </w:rPr>
        <w:t xml:space="preserve"> 2 </w:t>
      </w:r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1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2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231F20"/>
        </w:rPr>
        <w:t xml:space="preserve"> 3 </w:t>
      </w:r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3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4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231F20"/>
        </w:rPr>
        <w:t xml:space="preserve"> 4 </w:t>
      </w:r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5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6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231F20"/>
        </w:rPr>
        <w:t xml:space="preserve"> 5 </w:t>
      </w:r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7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8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FFFFFF"/>
        </w:rPr>
        <w:t xml:space="preserve"> 6 </w:t>
      </w:r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9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drawing xmlns:w="http://schemas.openxmlformats.org/wordprocessingml/2006/main">
        <wp:inline xmlns:wp="http://schemas.openxmlformats.org/drawingml/2006/wordprocessingDrawing" distT="0" distB="0" distL="0" distR="0">
          <wp:extent cx="22225" cy="413385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0">
                    <a:extLst>
                      <a:ext uri="{28A0092B-C50C-407E-A947-70E740481C1C}"/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  <w:r>
        <w:rPr xmlns:w="http://schemas.openxmlformats.org/wordprocessingml/2006/main">
          <w:rFonts w:ascii="Arial" w:cs="Arial" w:eastAsia="Arial" w:hAnsi="Arial"/>
          <w:sz w:val="55"/>
          <w:szCs w:val="55"/>
          <w:b w:val="1"/>
          <w:bCs w:val="1"/>
          <w:color w:val="231F20"/>
        </w:rPr>
        <w:t xml:space="preserve"> 7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22225" cy="41338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3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tabs>
          <w:tab w:leader="none" w:pos="44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Niższe ryzyko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Wyższe ryzyko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920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Wskaźnik ryzyka zakłada przechowywanie Produktu przez 5 lat.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 Rzeczywiste ryzyko może się znacznie różnić, jeśli dokonasz wpłaty na wczesnym etapie, a otrzymasz mniej.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960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Możesz nie być w stanie sprzedać swojego produktu w prosty sposób lub być może będziesz musiał sprzedać go po cenie, która ma znaczący wpływ na to, ile otrzymasz.</w:t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5460" w:space="120"/>
            <w:col w:w="5460"/>
          </w:cols>
          <w:pgMar w:left="440" w:top="386" w:right="420" w:bottom="1440" w:gutter="0" w:footer="0" w:header="0"/>
        </w:sectPr>
      </w:pPr>
    </w:p>
    <w:p>
      <w:pPr xmlns:w="http://schemas.openxmlformats.org/wordprocessingml/2006/main">
        <w:spacing w:after="0" w:line="25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Zaklasyfikowaliśmy ten Produkt jako 6 z 7, co jest drugą najwyższą klasą ryzyka.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ten sposób ocenia się potencjalne straty wynikające z przyszłych wyników na wysokim poziomie oraz złe warunki rynkowe, które najprawdopodobniej wpłyną na zdolność funduszy ETF VanEck UCITS plc do zapłaty.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 Otrzymasz płatności w innej walucie, więc ostateczny zwrot będzie zależał od kursu wymiany między tymi dwiema walutami.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Ten produkt nie obejmuje żadnej ochrony przed przyszłymi wynikami rynkowymi, więc możesz stracić część lub całość 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Następujące 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ryzyko może mieć istotne znaczenie dla Produktu, ale może nie być odpowiednio ujęte w zbiorczym wskaźniku ryzyka i może powodować dodatkową stratę: Ryzyko płynności i ryzyko inwestowania w spółki o małej i średniej kapitalizacji, jak szczegółowo opisano w Prospekcie.</w:t>
      </w:r>
    </w:p>
    <w:p>
      <w:pPr>
        <w:spacing w:after="0" w:line="13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Scenariusze wyników i założenia przyjęte w celu ich opracowania: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0" w:hanging="11"/>
        <w:spacing w:after="0" w:line="27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To, co uzyskasz z tego produktu, zależy od przyszłej wydajności rynku.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Rozwój rynku w przyszłości jest niepewny i nie można go dokładnie przewidzieć.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Niekorzystne, umiarkowane i korzystne scenariusze są ilustracjami wykorzystującymi najgorszą, średnią i najlepszą wydajność Produktu w ciągu ostatnich 10 lat.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Rynki mogą w przyszłości rozwijać się zupełnie inaczej.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113665</wp:posOffset>
            </wp:positionV>
            <wp:extent cx="7010400" cy="22161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FFFFFF"/>
        </w:rPr>
        <w:t xml:space="preserve">Zalecany okres przechowywania: 5 lat.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54610</wp:posOffset>
            </wp:positionV>
            <wp:extent cx="7010400" cy="2216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FFFFFF"/>
        </w:rPr>
        <w:t xml:space="preserve">Przykładowa inwestycja: 10 000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54610</wp:posOffset>
            </wp:positionV>
            <wp:extent cx="7010400" cy="23622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3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12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FFFFFF"/>
              </w:rPr>
              <w:t xml:space="preserve">Scenariusze</w:t>
            </w:r>
          </w:p>
        </w:tc>
        <w:tc>
          <w:tcPr>
            <w:tcW w:w="5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center"/>
              <w:ind w:left="70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FFFFFF"/>
              </w:rPr>
              <w:t xml:space="preserve">Jeśli wyjdziesz po 1 roku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FFFFFF"/>
              </w:rPr>
              <w:t xml:space="preserve">Wyjście z programu po 5 latach</w:t>
            </w:r>
          </w:p>
        </w:tc>
      </w:tr>
      <w:tr>
        <w:trPr>
          <w:trHeight w:val="372"/>
        </w:trPr>
        <w:tc>
          <w:tcPr>
            <w:tcW w:w="12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Minimalne</w:t>
            </w:r>
          </w:p>
        </w:tc>
        <w:tc>
          <w:tcPr>
            <w:tcW w:w="7920" w:type="dxa"/>
            <w:vAlign w:val="bottom"/>
            <w:gridSpan w:val="2"/>
          </w:tcPr>
          <w:p>
            <w:pPr xmlns:w="http://schemas.openxmlformats.org/wordprocessingml/2006/main"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i w:val="1"/>
                <w:iCs w:val="1"/>
                <w:color w:val="231F20"/>
              </w:rPr>
              <w:t xml:space="preserve">Nie ma minimalnego gwarantowanego zwrotu.</w:t>
            </w: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i w:val="1"/>
                <w:iCs w:val="1"/>
                <w:color w:val="231F20"/>
              </w:rPr>
              <w:t xml:space="preserve"> Możesz stracić część lub całość inwestycji.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8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1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i w:val="1"/>
                <w:iCs w:val="1"/>
                <w:color w:val="231F20"/>
              </w:rPr>
              <w:t xml:space="preserve">Co możesz odzyskać po kosztach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ind w:left="1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620 USD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center"/>
              <w:ind w:left="8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  <w:w w:val="99"/>
              </w:rPr>
              <w:t xml:space="preserve">0 USD</w:t>
            </w: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Naprężenie</w:t>
            </w:r>
          </w:p>
        </w:tc>
        <w:tc>
          <w:tcPr>
            <w:tcW w:w="5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2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Średni zwrot w każdym roku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ind w:left="1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- 93,77%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right"/>
              <w:ind w:right="40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- 88,22%</w:t>
            </w:r>
          </w:p>
        </w:tc>
      </w:tr>
      <w:tr>
        <w:trPr>
          <w:trHeight w:val="37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1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i w:val="1"/>
                <w:iCs w:val="1"/>
                <w:color w:val="231F20"/>
              </w:rPr>
              <w:t xml:space="preserve">Co możesz odzyskać po kosztach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  <w:w w:val="98"/>
              </w:rPr>
              <w:t xml:space="preserve">1 110 USD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center"/>
              <w:ind w:left="8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  <w:w w:val="99"/>
              </w:rPr>
              <w:t xml:space="preserve">0 USD</w:t>
            </w: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Niekorzystny</w:t>
            </w:r>
          </w:p>
        </w:tc>
        <w:tc>
          <w:tcPr>
            <w:tcW w:w="5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2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Średni zwrot w każdym roku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right"/>
              <w:ind w:right="56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- 88,89%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right"/>
              <w:ind w:right="44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- 88,22%</w:t>
            </w:r>
          </w:p>
        </w:tc>
      </w:tr>
      <w:tr>
        <w:trPr>
          <w:trHeight w:val="37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1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i w:val="1"/>
                <w:iCs w:val="1"/>
                <w:color w:val="231F20"/>
              </w:rPr>
              <w:t xml:space="preserve">Co możesz odzyskać po kosztach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  <w:w w:val="97"/>
              </w:rPr>
              <w:t xml:space="preserve">11 720 USD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21 180 USD</w:t>
            </w: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Umiarkowane</w:t>
            </w:r>
          </w:p>
        </w:tc>
        <w:tc>
          <w:tcPr>
            <w:tcW w:w="5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2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Średni zwrot w każdym roku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right"/>
              <w:ind w:right="60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17.19 %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right"/>
              <w:ind w:right="42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16.20 %</w:t>
            </w:r>
          </w:p>
        </w:tc>
      </w:tr>
      <w:tr>
        <w:trPr>
          <w:trHeight w:val="37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1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i w:val="1"/>
                <w:iCs w:val="1"/>
                <w:color w:val="231F20"/>
              </w:rPr>
              <w:t xml:space="preserve">Co możesz odzyskać po kosztach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22 500 USD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37 050 USD</w:t>
            </w: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Korzystne</w:t>
            </w:r>
          </w:p>
        </w:tc>
        <w:tc>
          <w:tcPr>
            <w:tcW w:w="5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0" w:type="dxa"/>
            <w:vAlign w:val="bottom"/>
          </w:tcPr>
          <w:p>
            <w:pPr xmlns:w="http://schemas.openxmlformats.org/wordprocessingml/2006/main">
              <w:ind w:left="2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Średni zwrot w każdym roku</w:t>
            </w:r>
          </w:p>
        </w:tc>
        <w:tc>
          <w:tcPr>
            <w:tcW w:w="2520" w:type="dxa"/>
            <w:vAlign w:val="bottom"/>
          </w:tcPr>
          <w:p>
            <w:pPr xmlns:w="http://schemas.openxmlformats.org/wordprocessingml/2006/main">
              <w:jc w:val="right"/>
              <w:ind w:right="54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124,97%</w:t>
            </w:r>
          </w:p>
        </w:tc>
        <w:tc>
          <w:tcPr>
            <w:tcW w:w="1700" w:type="dxa"/>
            <w:vAlign w:val="bottom"/>
          </w:tcPr>
          <w:p>
            <w:pPr xmlns:w="http://schemas.openxmlformats.org/wordprocessingml/2006/main">
              <w:jc w:val="right"/>
              <w:ind w:right="48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color w:val="231F20"/>
              </w:rPr>
              <w:t xml:space="preserve">29,94%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-2136140</wp:posOffset>
            </wp:positionV>
            <wp:extent cx="7010400" cy="21913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19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00"/>
        <w:spacing w:after="0" w:line="27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Podane liczby obejmują wszystkie koszty samego Produktu, ale mogą nie obejmować wszystkich kosztów, które płacisz swojemu doradcy lub dystrybutorowi.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Liczby nie uwzględniają Twojej osobistej sytuacji podatkowej, co może mieć również wpływ na to, ile odzyskasz.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Scenariusz warunków skrajnych pokazuje, co możesz odzyskać w ekstremalnych warunkach rynkowych.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stosownych przypadkach w przypadku scenariuszy niekorzystnych, umiarkowanych i korzystnych: Niekorzystny scenariusz wystąpił w przypadku inwestycji między listopadem 2021 r. a listopadem 2022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Scenariusz umiarkowany miał miejsce w przypadku inwestycji między lipcem 2012 r. a lipcem 2017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Sprzyjający scenariusz miał miejsce dla inwestycji pomiędzy kwietniem 2016 r. a kwietniem 2021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Twoja maksymalna strata polegałaby na tym, że stracisz całą swoją inwestycję.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Co się stanie, jeśli fundusze inwestycyjne VanEck UCITS plc nie będą w stanie wypłacić?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Upadłość Producenta nie ma bezpośredniego wpływu na Twoją wypłatę, ponieważ przepisy ustawowe stanowią, że w przypadku niewypłacalności Producenta Produkt nie staje się częścią masy upadłościowej, ale jest utrzymywany we własnym zakresie.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Inwestycje funduszy nie wchodzą w zakres żadnego systemu gwarancji ani rekompensat.</w:t>
      </w:r>
    </w:p>
    <w:p>
      <w:pPr>
        <w:sectPr>
          <w:pgSz w:w="11900" w:h="16840" w:orient="portrait"/>
          <w:cols w:equalWidth="0" w:num="1">
            <w:col w:w="11040"/>
          </w:cols>
          <w:pgMar w:left="440" w:top="386" w:right="420" w:bottom="144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Jakie są koszty?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2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Osoba doradzająca użytkownikowi lub sprzedająca mu ten Produkt może obciążyć go innymi kosztami.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Jeśli tak, osoba ta przekaże Ci informacje o tych kosztach i ich wpływie na Twoją inwestycję.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60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Kwoty te zależą od tego, ile zainwestujesz i jak długo będziesz trzymał Produkt.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Przedstawione tu kwoty są ilustracjami opartymi na przykładowej kwocie inwestycji i różnych możliwych okresach 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Założyliśmy: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Dla pozostałych okresów utrzymywania przyjęliśmy, że Produkt działa jak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178435</wp:posOffset>
            </wp:positionH>
            <wp:positionV relativeFrom="paragraph">
              <wp:posOffset>-69850</wp:posOffset>
            </wp:positionV>
            <wp:extent cx="44450" cy="4445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4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 scenariuszu umiarkowanym.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Zainwestowano 10 000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178435</wp:posOffset>
            </wp:positionH>
            <wp:positionV relativeFrom="paragraph">
              <wp:posOffset>-69850</wp:posOffset>
            </wp:positionV>
            <wp:extent cx="44450" cy="4445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" cy="4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FFFFFF"/>
        </w:rPr>
        <w:t xml:space="preserve">Koszt w czasie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-127000</wp:posOffset>
            </wp:positionV>
            <wp:extent cx="7010400" cy="34671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346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660"/>
        <w:spacing w:after="0"/>
        <w:tabs>
          <w:tab w:leader="none" w:pos="89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FFFFFF"/>
        </w:rPr>
        <w:t xml:space="preserve">Jeśli wyjdziesz po 1 roku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FFFFFF"/>
        </w:rPr>
        <w:t xml:space="preserve">Wyjście z programu po 5 latach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54610</wp:posOffset>
            </wp:positionV>
            <wp:extent cx="7010400" cy="22161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tabs>
          <w:tab w:leader="none" w:pos="2640" w:val="left"/>
          <w:tab w:leader="none" w:pos="89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Koszty ogółem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17 USD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84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54610</wp:posOffset>
            </wp:positionV>
            <wp:extent cx="7010400" cy="22161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tabs>
          <w:tab w:leader="none" w:pos="2640" w:val="left"/>
          <w:tab w:leader="none" w:pos="89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Roczny wpływ na koszty (*)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0.2 %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0.2 %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54610</wp:posOffset>
            </wp:positionV>
            <wp:extent cx="7010400" cy="44259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44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 w:right="200" w:firstLine="3"/>
        <w:spacing w:after="0" w:line="256" w:lineRule="auto"/>
        <w:tabs>
          <w:tab w:leader="none" w:pos="282" w:val="left"/>
        </w:tabs>
        <w:numPr>
          <w:ilvl w:val="0"/>
          <w:numId w:val="2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Na przykład pokazuje to, że jeśli opuścisz zakład w zalecanym okresie utrzymywania, średni roczny zwrot z inwestycji wyniesie 17.0 % przed kosztami i 16.7 % po kosztach.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Możemy podzielić się częścią kosztów z osobą sprzedającą Ci Produkt w celu pokrycia usług, które Ci świadczą.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Poinformują Cię o kwocie.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276860</wp:posOffset>
            </wp:positionV>
            <wp:extent cx="7010400" cy="14732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righ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FFFFFF"/>
        </w:rPr>
        <w:t xml:space="preserve">Struktura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7010400" cy="22161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11040"/>
          </w:cols>
          <w:pgMar w:left="440" w:top="386" w:right="42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Koszty wejścia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-165735</wp:posOffset>
            </wp:positionV>
            <wp:extent cx="1402080" cy="44259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44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Koszty wyjścia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202565</wp:posOffset>
            </wp:positionV>
            <wp:extent cx="1402080" cy="44259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44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80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Opłaty za zarządzanie i inne koszty administracyjne lub operacyjne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41275</wp:posOffset>
            </wp:positionV>
            <wp:extent cx="1402080" cy="35433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354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Koszty transakcyjne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268605</wp:posOffset>
            </wp:positionV>
            <wp:extent cx="1402080" cy="29527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9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FFFFFF"/>
        </w:rPr>
        <w:t xml:space="preserve">Jednorazowe koszty przy wjeździe lub wyjeździe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54610</wp:posOffset>
            </wp:positionV>
            <wp:extent cx="4206240" cy="22161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Nie pobieramy opłaty za wstęp.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54610</wp:posOffset>
            </wp:positionV>
            <wp:extent cx="4206240" cy="22161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Nie pobieramy opłaty za wyjazd.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-1458595</wp:posOffset>
            </wp:positionH>
            <wp:positionV relativeFrom="paragraph">
              <wp:posOffset>54610</wp:posOffset>
            </wp:positionV>
            <wp:extent cx="7010400" cy="14732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8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FFFFFF"/>
        </w:rPr>
        <w:t xml:space="preserve">Koszty bieżące ponoszone każdego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12700</wp:posOffset>
            </wp:positionV>
            <wp:extent cx="4206240" cy="44259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44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0.7% wartości inwestycji rocznie.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Jest to szacunek oparty na rzeczywistych kosztach w ciągu ostatniego roku.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99695</wp:posOffset>
            </wp:positionV>
            <wp:extent cx="4206240" cy="35433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54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5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-0.5% wartości inwestycji rocznie.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Jest to szacunek kosztów poniesionych przy zakupie i sprzedaży inwestycji bazowych na Produkt.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Rzeczywista kwota będzie zależała od tego, ile kupujemy i sprzedajemy.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Minimalny poziom jawnych kosztów transakcji wynosi 3 USD.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-1458595</wp:posOffset>
            </wp:positionH>
            <wp:positionV relativeFrom="paragraph">
              <wp:posOffset>0</wp:posOffset>
            </wp:positionV>
            <wp:extent cx="7010400" cy="14732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10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FFFFFF"/>
        </w:rPr>
        <w:t xml:space="preserve">Koszty uboczne ponoszone na określonych warunkach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12700</wp:posOffset>
            </wp:positionV>
            <wp:extent cx="4206240" cy="295275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FFFFFF"/>
        </w:rPr>
        <w:t xml:space="preserve">Jeśli wyjdziesz po 1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-53975</wp:posOffset>
            </wp:positionH>
            <wp:positionV relativeFrom="paragraph">
              <wp:posOffset>60325</wp:posOffset>
            </wp:positionV>
            <wp:extent cx="1402080" cy="221615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-53975</wp:posOffset>
            </wp:positionH>
            <wp:positionV relativeFrom="paragraph">
              <wp:posOffset>54610</wp:posOffset>
            </wp:positionV>
            <wp:extent cx="1402080" cy="22161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-53975</wp:posOffset>
            </wp:positionH>
            <wp:positionV relativeFrom="paragraph">
              <wp:posOffset>202565</wp:posOffset>
            </wp:positionV>
            <wp:extent cx="1402080" cy="44259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44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65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-53975</wp:posOffset>
            </wp:positionH>
            <wp:positionV relativeFrom="paragraph">
              <wp:posOffset>165735</wp:posOffset>
            </wp:positionV>
            <wp:extent cx="1402080" cy="35433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354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USD -48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-53975</wp:posOffset>
            </wp:positionH>
            <wp:positionV relativeFrom="paragraph">
              <wp:posOffset>268605</wp:posOffset>
            </wp:positionV>
            <wp:extent cx="1402080" cy="29527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8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3">
            <w:col w:w="1760" w:space="540"/>
            <w:col w:w="6300" w:space="320"/>
            <w:col w:w="2120"/>
          </w:cols>
          <w:pgMar w:left="440" w:top="386" w:right="420" w:bottom="1440" w:gutter="0" w:footer="0" w:header="0"/>
          <w:type w:val="continuous"/>
        </w:sectPr>
      </w:pPr>
    </w:p>
    <w:p>
      <w:pPr xmlns:w="http://schemas.openxmlformats.org/wordprocessingml/2006/main">
        <w:ind w:left="80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Opłaty za wyniki (wraz z należnymi odsetkami)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tabs>
          <w:tab w:leader="none" w:pos="66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Brak opłaty za wydajność dla tego produktu.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0 USD</w:t>
      </w: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1760" w:space="540"/>
            <w:col w:w="8740"/>
          </w:cols>
          <w:pgMar w:left="440" w:top="386" w:right="420" w:bottom="1440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Jak długo powinienem go trzymać i czy mogę wcześnie zabrać pieniądze?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tabs>
          <w:tab w:leader="none" w:pos="21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Zalecany okres przechowywania: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5 lat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Produkt nadaje się do średnio- i długoterminowych 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Udziały w Produkcie mogą być co do zasady umorzone w każdym dniu transakcji.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Za taką transakcję nie są pobierane żadne koszty ani opłaty.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Producent może zawiesić umorzenie, jeżeli wyjątkowe okoliczności sprawią, że będzie to konieczne, biorąc pod uwagę interesy inwestorów określone w prospekcie emisyjnym.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Inwestorzy będą mogli nabyć i sprzedać Produkt na giełdzie.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Producent może ograniczyć wnioski o umorzenie, jeżeli liczba akcji umorzonego Produktu stanowi więcej niż 10 % całkowitej wartości aktywów netto w tym dniu transakcji.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Inwestorzy będą mogli nabyć i sprzedać Produkt na giełdzie.</w:t>
      </w:r>
    </w:p>
    <w:p>
      <w:pPr>
        <w:spacing w:after="0" w:line="3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Jak mogę złożyć skargę?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 w:hanging="11"/>
        <w:spacing w:after="0" w:line="28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Wszelkie skargi dotyczące Produktu lub postępowania Producenta/Spółki Zarządzającej mogą Państwo kierować do nas za pośrednictwem poczty elektronicznej na adres 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u w:val="single" w:color="auto"/>
          <w:color w:val="000000"/>
        </w:rPr>
        <w:t xml:space="preserve">complaints-europe@vaneck.com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lub listownie do VanEck (Europe) GmbH, Attn.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Compliance/Obsługa Reklamacji, Kreuznacher Str.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30 60486 Frankfurt/Main, Niemcy 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lub VanEck Asset Management B.V., Barbara Strozzilaan 310 1083 HN Amsterdam, Holandia.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80" w:hanging="11"/>
        <w:spacing w:after="0" w:line="287" w:lineRule="auto"/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Więcej informacji na ten temat znajduje się w </w:t>
      </w:r>
      <w:hyperlink r:id="rId65">
        <w:r>
          <w:rPr xmlns:w="http://schemas.openxmlformats.org/wordprocessingml/2006/main">
            <w:rFonts w:ascii="Arial" w:cs="Arial" w:eastAsia="Arial" w:hAnsi="Arial"/>
            <w:sz w:val="15"/>
            <w:szCs w:val="15"/>
            <w:u w:val="single" w:color="auto"/>
            <w:color w:val="0000EE"/>
          </w:rPr>
          <w:t xml:space="preserve">Procedurze rozpatrywania skarg</w:t>
        </w:r>
      </w:hyperlink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przypadku reklamacji dotyczących wszelkich porad dotyczących Produktu, a związanych z nabyciem Produktu, prosimy o bezpośredni kontakt z osobą, która sprzedała Produkt lub doradziła nabycie Produktu.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31F20"/>
        </w:rPr>
        <w:t xml:space="preserve">Inne istotne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7010400" cy="14605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hanging="11"/>
        <w:spacing w:after="0"/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Więcej informacji o Wytwórcy i Produktach, w tym prospekt emisyjny oraz ostatnie raporty roczne i półroczne dostępne są bezpłatnie online na stronie </w:t>
      </w:r>
      <w:hyperlink r:id="rId15">
        <w:r>
          <w:rPr xmlns:w="http://schemas.openxmlformats.org/wordprocessingml/2006/main">
            <w:rFonts w:ascii="Arial" w:cs="Arial" w:eastAsia="Arial" w:hAnsi="Arial"/>
            <w:sz w:val="15"/>
            <w:szCs w:val="15"/>
            <w:u w:val="single" w:color="auto"/>
            <w:color w:val="0000EE"/>
          </w:rPr>
          <w:t xml:space="preserve">www.vaneck.com </w:t>
        </w:r>
      </w:hyperlink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lub na żądanie w siedzibie Spółki.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Dokumenty te są dostępne w języku angielskim i niektórych innych językach.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Wartość aktywów netto i inne informacje są dostępne online na stronie </w:t>
      </w:r>
      <w:hyperlink r:id="rId15">
        <w:r>
          <w:rPr xmlns:w="http://schemas.openxmlformats.org/wordprocessingml/2006/main">
            <w:rFonts w:ascii="Arial" w:cs="Arial" w:eastAsia="Arial" w:hAnsi="Arial"/>
            <w:sz w:val="15"/>
            <w:szCs w:val="15"/>
            <w:u w:val="single" w:color="auto"/>
            <w:color w:val="0000EE"/>
          </w:rPr>
          <w:t xml:space="preserve">www.vaneck.com</w:t>
        </w:r>
      </w:hyperlink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Scenariusze wydajności są obliczane co miesiąc i są dostępne wraz z danymi dotyczącymi wyników z ostatnich 0 lat na stronie </w:t>
      </w:r>
      <w:hyperlink r:id="rId67">
        <w:r>
          <w:rPr xmlns:w="http://schemas.openxmlformats.org/wordprocessingml/2006/main">
            <w:rFonts w:ascii="Arial" w:cs="Arial" w:eastAsia="Arial" w:hAnsi="Arial"/>
            <w:sz w:val="15"/>
            <w:szCs w:val="15"/>
            <w:u w:val="single" w:color="auto"/>
            <w:color w:val="0000EE"/>
          </w:rPr>
          <w:t xml:space="preserve">https://www.vaneck.com/ie/en/dapp</w:t>
        </w:r>
      </w:hyperlink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Szczegóły dotyczące polityki wynagrodzeń Spółki Zarządzającej, VanEck Asset Management B.V., w tym między innymi opis sposobu wyliczania świadczeń z tytułu wynagrodzenia, dane osób odpowiedzialnych za przyznawanie wynagrodzenia i świadczeń, w tym, w stosownych przypadkach, skład komitetu ds. wynagrodzeń, można uzyskać na stronie internetowej www.vaneck.com, a kopię papierową można uzyskać bezpłatnie i na żądanie w siedzibie Spółki Zarządzającej.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Wytwórca podlega przepisom podatkowym Irlandii.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zależności od kraju zamieszkania może to mieć wpływ na Twoją inwestycję.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W celu uzyskania porady na temat własnych zobowiązań podatkowych prosimy o kontakt z doradcą inwestycyjnym lub podatkowym.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Szczegółowe informacje na temat Indeksu dostępne są na stronie internetowej Indeksu: www.marketvector.com.</w:t>
      </w:r>
    </w:p>
    <w:sectPr>
      <w:pgSz w:w="11900" w:h="16840" w:orient="portrait"/>
      <w:cols w:equalWidth="0" w:num="1">
        <w:col w:w="11040"/>
      </w:cols>
      <w:pgMar w:left="440" w:top="386" w:right="42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08463C"/>
    <w:multiLevelType w:val="hybridMultilevel"/>
    <w:lvl w:ilvl="0">
      <w:lvlJc w:val="left"/>
      <w:lvlText w:val="•"/>
      <w:numFmt w:val="bullet"/>
      <w:start w:val="1"/>
    </w:lvl>
  </w:abstractNum>
  <w:abstractNum w:abstractNumId="1">
    <w:nsid w:val="1C4B71BC"/>
    <w:multiLevelType w:val="hybridMultilevel"/>
    <w:lvl w:ilvl="0">
      <w:lvlJc w:val="left"/>
      <w:lvlText w:val="(*)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image" Target="media/image15.pn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png"/><Relationship Id="rId32" Type="http://schemas.openxmlformats.org/officeDocument/2006/relationships/image" Target="media/image20.png"/><Relationship Id="rId33" Type="http://schemas.openxmlformats.org/officeDocument/2006/relationships/image" Target="media/image21.png"/><Relationship Id="rId34" Type="http://schemas.openxmlformats.org/officeDocument/2006/relationships/image" Target="media/image22.png"/><Relationship Id="rId35" Type="http://schemas.openxmlformats.org/officeDocument/2006/relationships/image" Target="media/image23.png"/><Relationship Id="rId36" Type="http://schemas.openxmlformats.org/officeDocument/2006/relationships/image" Target="media/image24.png"/><Relationship Id="rId37" Type="http://schemas.openxmlformats.org/officeDocument/2006/relationships/image" Target="media/image25.png"/><Relationship Id="rId38" Type="http://schemas.openxmlformats.org/officeDocument/2006/relationships/image" Target="media/image26.png"/><Relationship Id="rId39" Type="http://schemas.openxmlformats.org/officeDocument/2006/relationships/image" Target="media/image27.png"/><Relationship Id="rId40" Type="http://schemas.openxmlformats.org/officeDocument/2006/relationships/image" Target="media/image28.png"/><Relationship Id="rId41" Type="http://schemas.openxmlformats.org/officeDocument/2006/relationships/image" Target="media/image29.png"/><Relationship Id="rId42" Type="http://schemas.openxmlformats.org/officeDocument/2006/relationships/image" Target="media/image30.png"/><Relationship Id="rId43" Type="http://schemas.openxmlformats.org/officeDocument/2006/relationships/image" Target="media/image31.png"/><Relationship Id="rId44" Type="http://schemas.openxmlformats.org/officeDocument/2006/relationships/image" Target="media/image32.png"/><Relationship Id="rId45" Type="http://schemas.openxmlformats.org/officeDocument/2006/relationships/image" Target="media/image33.png"/><Relationship Id="rId46" Type="http://schemas.openxmlformats.org/officeDocument/2006/relationships/image" Target="media/image34.png"/><Relationship Id="rId47" Type="http://schemas.openxmlformats.org/officeDocument/2006/relationships/image" Target="media/image35.png"/><Relationship Id="rId48" Type="http://schemas.openxmlformats.org/officeDocument/2006/relationships/image" Target="media/image36.png"/><Relationship Id="rId49" Type="http://schemas.openxmlformats.org/officeDocument/2006/relationships/image" Target="media/image37.png"/><Relationship Id="rId50" Type="http://schemas.openxmlformats.org/officeDocument/2006/relationships/image" Target="media/image38.png"/><Relationship Id="rId51" Type="http://schemas.openxmlformats.org/officeDocument/2006/relationships/image" Target="media/image39.png"/><Relationship Id="rId52" Type="http://schemas.openxmlformats.org/officeDocument/2006/relationships/image" Target="media/image40.png"/><Relationship Id="rId53" Type="http://schemas.openxmlformats.org/officeDocument/2006/relationships/image" Target="media/image41.png"/><Relationship Id="rId54" Type="http://schemas.openxmlformats.org/officeDocument/2006/relationships/image" Target="media/image42.png"/><Relationship Id="rId55" Type="http://schemas.openxmlformats.org/officeDocument/2006/relationships/image" Target="media/image43.png"/><Relationship Id="rId56" Type="http://schemas.openxmlformats.org/officeDocument/2006/relationships/image" Target="media/image44.png"/><Relationship Id="rId57" Type="http://schemas.openxmlformats.org/officeDocument/2006/relationships/image" Target="media/image45.png"/><Relationship Id="rId58" Type="http://schemas.openxmlformats.org/officeDocument/2006/relationships/image" Target="media/image46.png"/><Relationship Id="rId59" Type="http://schemas.openxmlformats.org/officeDocument/2006/relationships/image" Target="media/image47.png"/><Relationship Id="rId60" Type="http://schemas.openxmlformats.org/officeDocument/2006/relationships/image" Target="media/image48.png"/><Relationship Id="rId61" Type="http://schemas.openxmlformats.org/officeDocument/2006/relationships/image" Target="media/image49.png"/><Relationship Id="rId62" Type="http://schemas.openxmlformats.org/officeDocument/2006/relationships/image" Target="media/image50.png"/><Relationship Id="rId63" Type="http://schemas.openxmlformats.org/officeDocument/2006/relationships/image" Target="media/image51.png"/><Relationship Id="rId64" Type="http://schemas.openxmlformats.org/officeDocument/2006/relationships/image" Target="media/image52.png"/><Relationship Id="rId66" Type="http://schemas.openxmlformats.org/officeDocument/2006/relationships/image" Target="media/image53.png"/><Relationship Id="rId15" Type="http://schemas.openxmlformats.org/officeDocument/2006/relationships/hyperlink" Target="https://www.vaneck.com/ie/en" TargetMode="External"/><Relationship Id="rId65" Type="http://schemas.openxmlformats.org/officeDocument/2006/relationships/hyperlink" Target="https://www.vaneck.com/ie/en/literature/policies-procedures/complaints-procedure.pdf/" TargetMode="External"/><Relationship Id="rId67" Type="http://schemas.openxmlformats.org/officeDocument/2006/relationships/hyperlink" Target="https://www.vaneck.com/ie/en/DAPP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2024-05-21T09:44:50Z</dcterms:created>
  <dcterms:modified xsi:type="dcterms:W3CDTF">2024-05-21T09:44:50Z</dcterms:modified>
</cp:coreProperties>
</file>