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443230</wp:posOffset>
                </wp:positionH>
                <wp:positionV relativeFrom="page">
                  <wp:posOffset>372110</wp:posOffset>
                </wp:positionV>
                <wp:extent cx="6948170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48170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34.9pt;margin-top:29.3pt;width:547.1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490855</wp:posOffset>
                </wp:positionH>
                <wp:positionV relativeFrom="page">
                  <wp:posOffset>372110</wp:posOffset>
                </wp:positionV>
                <wp:extent cx="6853555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5355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38.65pt;margin-top:29.3pt;width:539.6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368300</wp:posOffset>
                </wp:positionV>
                <wp:extent cx="696214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29pt" to="582.6pt,29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871220</wp:posOffset>
                </wp:positionV>
                <wp:extent cx="696214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68.6pt" to="582.6pt,68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1746250</wp:posOffset>
                </wp:positionV>
                <wp:extent cx="696214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137.5pt" to="582.6pt,137.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2961005</wp:posOffset>
                </wp:positionV>
                <wp:extent cx="696214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233.15pt" to="582.6pt,233.1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4501515</wp:posOffset>
                </wp:positionV>
                <wp:extent cx="696214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354.45pt" to="582.6pt,354.4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440055</wp:posOffset>
                </wp:positionH>
                <wp:positionV relativeFrom="page">
                  <wp:posOffset>365125</wp:posOffset>
                </wp:positionV>
                <wp:extent cx="0" cy="8595995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595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65pt,28.75pt" to="34.65pt,705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7395845</wp:posOffset>
                </wp:positionH>
                <wp:positionV relativeFrom="page">
                  <wp:posOffset>365125</wp:posOffset>
                </wp:positionV>
                <wp:extent cx="0" cy="8595995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595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2.35pt,28.75pt" to="582.35pt,705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Opcje na kontrakty terminowe (Short Call)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25400</wp:posOffset>
                </wp:positionV>
                <wp:extent cx="6947535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7535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5.0499pt;margin-top:2pt;width:547.05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Opcja krótkiego wykupu na kontraktach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("OCC") udostępnia niniejszy dokument na podstawie Rozporządzenia UE nr 1286/2014 dla opcji na kontrakty terminowe (a/k/a "opcje terminowe").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Opcje na kontrakty terminowe są notowane i są przedmiotem obrotu na amerykańskich giełdach kontraktów terminowych typu futures zarejestrowanych w amerykańskiej komisji ds. obrotu kontraktami na towary ("CFTC") i są emitowane, rozliczane i rozliczane przez OCC, organizację rozliczającą instrumenty pochodne zarejestrowaną w CFTC.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Więcej informacji, w tym dane kontaktowe amerykańskich giełd opcji terminowych, inwestorzy mogą znaleźć na stronie internetowej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Zaktualizowany 28 grudnia 2022 i 20 kwietnia 2023.</w:t>
      </w:r>
    </w:p>
    <w:p>
      <w:pPr>
        <w:spacing w:after="0" w:line="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6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handlować opcjami na kontrakty terminowe, dopóki nie przeczytają i nie zrozumieją niniejszego dokumentu oraz wszelkich dodatkowych ujawnień przekazanych przez ich brokera, których treść może obejmować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Oświadczenie o ryzyku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Krajowego Stowarzyszenia Kontraktów Terminowych ("NFA") 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 odniesieniu do kontraktów terminowych na papiery wartościowe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https://www.nfa.futures.org/investors/investor-resources/files/security-futures-disclosure.pdf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, a także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00000"/>
        </w:rPr>
        <w:t xml:space="preserve">Ujednolicone kontrakty terminowe i opcje na ryzyko kontraktów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Stowarzyszenia Branży Kontraktów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,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 https://lc.fia.org/uniform-futures-and-options-futures-risk-disclosures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000000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Ujawnienia w niniejszym dokumencie należy interpretować w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sposób spójny z tymi ujawnieniami.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Ponadto, ponieważ instrumentem bazowym opcji terminowej jest kontrakt terminowy, inwestorzy powinni zapoznać się z dokumentem zawierającym kluczowe informacje dotyczące kontraktu terminowego, który stanowi podstawę opcji terminowej.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24130</wp:posOffset>
                </wp:positionV>
                <wp:extent cx="6947535" cy="444817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7535" cy="444817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5.0499pt;margin-top:1.9pt;width:547.05pt;height:350.2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40"/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Opcja terminowa to prawo do nabycia lub zbycia określonego kontraktu terminowego po ustalonej cenie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tj. "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cenie wykonania") poprzez skorzystanie z opcji przed upływem terminu jej ważności.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bazowe kontrakty terminowe typu future oraz na odsetki bazowe w tej przyszłości jest zatem pośrednia, ponieważ wartość opcji jest pochodną wartości bazowej kontraktu typu future.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Terminy ważności opcji terminowych są różne.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 amerykańska giełda opcji terminowych może jednostronnie wypowiedzieć opcję.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Zdarzenie korporacyjne związane z bazowym kontraktem terminowym typu futures lub odsetkami stanowiącymi jego podstawę może skutkować zmianą warunków opcji zgodnie z regułami OCC, które mogą różnić się od metodologii stosowanej na rynkach europejskich.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Posiadaczem (kupującym) opcji jest osoba, która kupuje prawo z opcji i płaci autorowi (sprzedającemu) bezzwrotną płatność zwaną "premią".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Scenariusz opcji jest zobowiązany - w przypadku przypisania mu wykonania opcji - do wykonania zgodnie z warunkami zakupu lub sprzedaży bazowego kontraktu terminowego po cenie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Opcja dająca posiadaczowi prawo do zakupu jest opcją kupna, a opcja dająca posiadaczowi prawo do sprzedaży jest opcją sprzedaży.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 może skorzystać z opcji typu amerykańskiego w dowolnym momencie przed wygaśnięciem, natomiast opcja typu europejskiego może być wykonywana tylko w określonym okresie przed wygaśnięciem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np.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data wygaśnięcia).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Opcje na kontrakty terminowe rozlicza się zazwyczaj poprzez zawarcie bazowego kontraktu terminowego.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Oznacza to, że wystawca opcji kupna, po jej wykonaniu, nabyłby pozycję krótką w bazowym kontrakcie terminowym, wycenioną po cenie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Niektóre opcje terminowe mogą być natomiast rozliczane w środkach pieniężnych, w którym to przypadku emitent dokonywałby płatności gotówkowej, jeżeli w momencie wykonania wartość bazowej transakcji przewyższa cenę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wartość opcji terminowej to cena wykonania, czas do wygaśnięcia oraz wartość bazowego kontraktu terminowego i jego podatność na wahania cen (zmienność).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8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konkretnego rodzaju inwestora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ona odpowiednia dla wszystkich inwestorów i jest przeznaczona wyłącznie dla inwestorów, którzy dobrze rozumieją produkt i mogą ponieść potencjalne straty związane z nim i związaną z nim strategią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17780</wp:posOffset>
                </wp:positionV>
                <wp:extent cx="696150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1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5499pt,1.4pt" to="542.6pt,1.4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740"/>
          </w:cols>
          <w:pgMar w:left="800" w:top="555" w:right="700" w:bottom="1440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368300</wp:posOffset>
                </wp:positionV>
                <wp:extent cx="696214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29pt" to="582.6pt,29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440055</wp:posOffset>
                </wp:positionH>
                <wp:positionV relativeFrom="page">
                  <wp:posOffset>365125</wp:posOffset>
                </wp:positionV>
                <wp:extent cx="0" cy="9001125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001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65pt,28.75pt" to="34.65pt,737.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7395845</wp:posOffset>
                </wp:positionH>
                <wp:positionV relativeFrom="page">
                  <wp:posOffset>365125</wp:posOffset>
                </wp:positionV>
                <wp:extent cx="0" cy="9001125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001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2.35pt,28.75pt" to="582.35pt,737.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1118235</wp:posOffset>
            </wp:positionH>
            <wp:positionV relativeFrom="paragraph">
              <wp:posOffset>15875</wp:posOffset>
            </wp:positionV>
            <wp:extent cx="4942205" cy="180911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205" cy="1809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1118235</wp:posOffset>
            </wp:positionH>
            <wp:positionV relativeFrom="paragraph">
              <wp:posOffset>15875</wp:posOffset>
            </wp:positionV>
            <wp:extent cx="4942205" cy="180911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205" cy="1809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4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dla posiadaczy i emitentów zależy od jego warunków, ale może obejmować:</w:t>
      </w:r>
    </w:p>
    <w:p>
      <w:pPr>
        <w:spacing w:after="0" w:line="7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hanging="218"/>
        <w:spacing w:after="0" w:line="222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Od emitenta można wymagać wypełnienia obowiązku zakupu lub sprzedaży instrumentu bazowego w każdym czasie, w którym opcja jest wykonalna ze względu na jej styl.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Jednostka sporządzająca opcje kupna, która nie jest właścicielem bazowego kontraktu terminowego typu futures (wezwanie niezabezpieczone), ponosi ryzyko potencjalnie nieograniczonej straty w miarę wzrostu ceny bazowego oprocentowania.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Podmioty zapisujące takie niepokryte wezwania są zobowiązane do wniesienia depozytu zabezpieczającego (opisanego poniżej) u swojego brokera, co stwarza dodatkowe ryzyko.</w:t>
      </w:r>
    </w:p>
    <w:p>
      <w:pPr>
        <w:spacing w:after="0" w:line="80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jc w:val="both"/>
        <w:ind w:left="220" w:right="280" w:hanging="218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amerykańska giełda opcji terminowych, na której jedynym przedmiotem obrotu są opcje terminowe, stanie się niedostępna, inwestorzy nie będą już mogli zawierać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Ponadto mogą zaistnieć sytuacje, w których ceny opcji terminowych nie będą utrzymywać zwyczajowych lub oczekiwanych relacji z wartościami udziałów bazowych lub powiązanych.</w:t>
      </w:r>
    </w:p>
    <w:p>
      <w:pPr>
        <w:spacing w:after="0" w:line="7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160" w:hanging="218"/>
        <w:spacing w:after="0" w:line="20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bazowy kontrakt terminowy na zrealizowaną opcję jest niedostępny, zasady UOKiK mogą wymagać alternatywnej formy rozliczenia, takiej jak rozliczenie gotówkowe.</w:t>
      </w:r>
    </w:p>
    <w:p>
      <w:pPr>
        <w:spacing w:after="0" w:line="80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820" w:hanging="218"/>
        <w:spacing w:after="0" w:line="20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Inwestorzy powinni uwzględnić profil ryzyka i zysku kontraktu terminowego będącego podstawą opcji terminowej, zgodnie z opisem w odpowiednim dokumencie zawierającym kluczowe informacje dotyczącym bazowego kontraktu terminowego.</w:t>
      </w:r>
    </w:p>
    <w:p>
      <w:pPr>
        <w:spacing w:after="0" w:line="2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8"/>
        <w:spacing w:after="0" w:line="238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8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280" w:hanging="218"/>
        <w:spacing w:after="0" w:line="201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Wszelkie płatności gotówkowe związane z handlem lub korzystaniem z opcji będą rozliczane w dolarach amerykańskich, a w konsekwencji wyniki inwestycyjne mogą się zmieniać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uwzględnione we wskaźniku powyżej.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4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Scenariusze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 mogą mieć wpływ na wartość transakcji i pozycji opcyjnej)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19050</wp:posOffset>
            </wp:positionH>
            <wp:positionV relativeFrom="paragraph">
              <wp:posOffset>14605</wp:posOffset>
            </wp:positionV>
            <wp:extent cx="6644640" cy="165989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165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19050</wp:posOffset>
            </wp:positionH>
            <wp:positionV relativeFrom="paragraph">
              <wp:posOffset>14605</wp:posOffset>
            </wp:positionV>
            <wp:extent cx="6644640" cy="165989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165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2240" w:h="15840" w:orient="portrait"/>
          <w:cols w:equalWidth="0" w:num="1">
            <w:col w:w="10740"/>
          </w:cols>
          <w:pgMar w:left="800" w:top="562" w:right="700" w:bottom="564" w:gutter="0" w:footer="0" w:header="0"/>
        </w:sectPr>
      </w:pPr>
    </w:p>
    <w:p>
      <w:pPr>
        <w:spacing w:after="0" w:line="1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center"/>
        <w:ind w:left="3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595959"/>
        </w:rPr>
        <w:t xml:space="preserve">P/L pisania połączenia (Premium $5; Cena ćwiczenia $45)</w:t>
      </w:r>
    </w:p>
    <w:p>
      <w:pPr>
        <w:spacing w:after="0" w:line="127" w:lineRule="exact"/>
        <w:rPr>
          <w:sz w:val="20"/>
          <w:szCs w:val="20"/>
          <w:color w:val="auto"/>
        </w:rPr>
      </w:pPr>
    </w:p>
    <w:tbl>
      <w:tblPr>
        <w:tblLayout w:type="fixed"/>
        <w:tblInd w:w="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0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50 $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4"/>
        </w:trPr>
        <w:tc>
          <w:tcPr>
            <w:tcW w:w="16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94"/>
              </w:rPr>
              <w:t xml:space="preserve">P/L</w:t>
            </w:r>
          </w:p>
        </w:tc>
        <w:tc>
          <w:tcPr>
            <w:tcW w:w="50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- 50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4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- 100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right"/>
        <w:spacing w:after="0"/>
        <w:tabs>
          <w:tab w:leader="none" w:pos="3280" w:val="left"/>
          <w:tab w:leader="none" w:pos="2680" w:val="left"/>
          <w:tab w:leader="none" w:pos="2080" w:val="left"/>
          <w:tab w:leader="none" w:pos="1500" w:val="left"/>
          <w:tab w:leader="none" w:pos="940" w:val="left"/>
          <w:tab w:leader="none" w:pos="34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20 $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40 $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60 $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80 $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100 $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color w:val="595959"/>
        </w:rPr>
        <w:t xml:space="preserve">120 $</w:t>
      </w:r>
    </w:p>
    <w:p>
      <w:pPr>
        <w:spacing w:after="0" w:line="6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595959"/>
        </w:rPr>
        <w:t xml:space="preserve">Cena rynkowa instrumentu bazowego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Mechanizm Stressed Market Underlying Move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Cena rynkowa: $100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hanging="143"/>
        <w:spacing w:after="0"/>
        <w:tabs>
          <w:tab w:leader="none" w:pos="280" w:val="left"/>
        </w:tabs>
        <w:numPr>
          <w:ilvl w:val="0"/>
          <w:numId w:val="2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pisarza - $50</w:t>
      </w:r>
    </w:p>
    <w:p>
      <w:pPr xmlns:w="http://schemas.openxmlformats.org/wordprocessingml/2006/main">
        <w:ind w:left="140"/>
        <w:spacing w:after="0" w:line="211" w:lineRule="auto"/>
        <w:tabs>
          <w:tab w:leader="none" w:pos="172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+ 50 $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Umiarkowane Przesunięcie Rynkowe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00B050"/>
        </w:rPr>
        <w:t xml:space="preserve">Zielony Punkt Działki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Cena rynkowa: $60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hanging="143"/>
        <w:spacing w:after="0"/>
        <w:tabs>
          <w:tab w:leader="none" w:pos="280" w:val="left"/>
        </w:tabs>
        <w:numPr>
          <w:ilvl w:val="0"/>
          <w:numId w:val="3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pisarza - $10</w:t>
      </w:r>
    </w:p>
    <w:p>
      <w:pPr xmlns:w="http://schemas.openxmlformats.org/wordprocessingml/2006/main">
        <w:ind w:left="140"/>
        <w:spacing w:after="0" w:line="211" w:lineRule="auto"/>
        <w:tabs>
          <w:tab w:leader="none" w:pos="176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+ 10 USD</w:t>
      </w:r>
    </w:p>
    <w:p>
      <w:pPr>
        <w:spacing w:after="0" w:line="19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42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Wartość Break Even Point występuje, gdy cena bazowa jest równa cenie wykonania plus premia.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5000" w:space="380"/>
            <w:col w:w="5360"/>
          </w:cols>
          <w:pgMar w:left="800" w:top="562" w:right="700" w:bottom="564" w:gutter="0" w:footer="0" w:header="0"/>
          <w:type w:val="continuous"/>
        </w:sectPr>
      </w:pPr>
    </w:p>
    <w:p>
      <w:pPr>
        <w:spacing w:after="0" w:line="5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8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otrzymać.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spadnie.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otrzymasz, będzie się różnić w zależności od tego, jak wartość instrumentu bazowego zmienia się w czasie, co zależy od przyszłych wyników rynkowych, które są niepewne i nie można ich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wartości linii bazowej, a oś pionowa pokazuje zysk lub stratę.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Podane liczby obejmują wszystkie koszty samego produktu, ale mogą nie obejmować wszystkich kosztów, które płacisz swojemu doradcy lub dystrybutorowi i nie uwzględniają Twojej osobistej sytuacji podatkowej, która może mieć również wpływ na to, ile otrzymasz.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20955</wp:posOffset>
                </wp:positionV>
                <wp:extent cx="6961505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1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5499pt,1.65pt" to="542.6pt,1.65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740"/>
          </w:cols>
          <w:pgMar w:left="800" w:top="562" w:right="700" w:bottom="564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spacing w:after="0" w:line="202" w:lineRule="auto"/>
        <w:framePr w:w="1380" w:h="134" w:wrap="auto" w:vAnchor="page" w:hAnchor="page" w:x="6380" w:y="8931"/>
        <w:rPr>
          <w:rFonts w:ascii="Calibri" w:cs="Calibri" w:eastAsia="Calibri" w:hAnsi="Calibri"/>
          <w:sz w:val="13"/>
          <w:szCs w:val="13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</w:rPr>
        <w:t xml:space="preserve">Opłaty za wyniki</w:t>
      </w:r>
    </w:p>
    <w:p>
      <w:pPr xmlns:w="http://schemas.openxmlformats.org/wordprocessingml/2006/main">
        <w:spacing w:after="0" w:line="202" w:lineRule="auto"/>
        <w:framePr w:w="460" w:h="134" w:wrap="auto" w:vAnchor="page" w:hAnchor="page" w:x="7920" w:y="8931"/>
        <w:rPr>
          <w:rFonts w:ascii="Calibri" w:cs="Calibri" w:eastAsia="Calibri" w:hAnsi="Calibri"/>
          <w:sz w:val="13"/>
          <w:szCs w:val="13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</w:rPr>
        <w:t xml:space="preserve">Brak</w:t>
      </w:r>
    </w:p>
    <w:p>
      <w:pPr xmlns:w="http://schemas.openxmlformats.org/wordprocessingml/2006/main">
        <w:spacing w:after="0" w:line="202" w:lineRule="auto"/>
        <w:framePr w:w="360" w:h="134" w:wrap="auto" w:vAnchor="page" w:hAnchor="page" w:x="10080" w:y="8931"/>
        <w:rPr>
          <w:rFonts w:ascii="Calibri" w:cs="Calibri" w:eastAsia="Calibri" w:hAnsi="Calibri"/>
          <w:sz w:val="13"/>
          <w:szCs w:val="13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</w:rPr>
        <w:t xml:space="preserve">NIE DOTYCZY</w:t>
      </w:r>
    </w:p>
    <w:p>
      <w:pPr xmlns:w="http://schemas.openxmlformats.org/wordprocessingml/2006/main">
        <w:spacing w:after="0" w:line="202" w:lineRule="auto"/>
        <w:framePr w:w="3540" w:h="134" w:wrap="auto" w:vAnchor="page" w:hAnchor="page" w:x="6380" w:y="8624"/>
        <w:rPr>
          <w:rFonts w:ascii="Calibri" w:cs="Calibri" w:eastAsia="Calibri" w:hAnsi="Calibri"/>
          <w:sz w:val="13"/>
          <w:szCs w:val="13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  <w:highlight w:val="lightGray"/>
        </w:rPr>
        <w:t xml:space="preserve">Koszty uboczne ponoszone na określonych warunkach</w:t>
      </w:r>
    </w:p>
    <w:p>
      <w:pPr xmlns:w="http://schemas.openxmlformats.org/wordprocessingml/2006/main">
        <w:spacing w:after="0" w:line="202" w:lineRule="auto"/>
        <w:framePr w:w="1340" w:h="134" w:wrap="auto" w:vAnchor="page" w:hAnchor="page" w:x="6380" w:y="8314"/>
        <w:rPr>
          <w:rFonts w:ascii="Calibri" w:cs="Calibri" w:eastAsia="Calibri" w:hAnsi="Calibri"/>
          <w:sz w:val="13"/>
          <w:szCs w:val="13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  <w:highlight w:val="lightGray"/>
        </w:rPr>
        <w:t xml:space="preserve">Koszty transakcyjne</w:t>
      </w:r>
    </w:p>
    <w:p>
      <w:pPr xmlns:w="http://schemas.openxmlformats.org/wordprocessingml/2006/main">
        <w:spacing w:after="0" w:line="203" w:lineRule="auto"/>
        <w:framePr w:w="760" w:h="352" w:wrap="auto" w:vAnchor="page" w:hAnchor="page" w:x="10080" w:y="8096"/>
        <w:rPr>
          <w:rFonts w:ascii="Calibri" w:cs="Calibri" w:eastAsia="Calibri" w:hAnsi="Calibri"/>
          <w:sz w:val="17"/>
          <w:szCs w:val="17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color w:val="auto"/>
          <w:highlight w:val="lightGray"/>
        </w:rPr>
        <w:t xml:space="preserve">Zmienna (w toku)</w:t>
      </w:r>
    </w:p>
    <w:p>
      <w:pPr xmlns:w="http://schemas.openxmlformats.org/wordprocessingml/2006/main">
        <w:spacing w:after="0" w:line="220" w:lineRule="auto"/>
        <w:framePr w:w="1960" w:h="573" w:wrap="auto" w:vAnchor="page" w:hAnchor="page" w:x="7920" w:y="7875"/>
        <w:rPr>
          <w:rFonts w:ascii="Calibri" w:cs="Calibri" w:eastAsia="Calibri" w:hAnsi="Calibri"/>
          <w:sz w:val="17"/>
          <w:szCs w:val="17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color w:val="auto"/>
          <w:highlight w:val="lightGray"/>
        </w:rPr>
        <w:t xml:space="preserve">Depozyt zabezpieczający (wymagania mogą ulec zmianie i mogą różnić się w </w:t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zależności od rodzaju działalności maklerskiej</w:t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color w:val="auto"/>
          <w:highlight w:val="lightGray"/>
        </w:rPr>
        <w:t xml:space="preserve">)</w:t>
      </w:r>
    </w:p>
    <w:p>
      <w:pPr xmlns:w="http://schemas.openxmlformats.org/wordprocessingml/2006/main">
        <w:spacing w:after="0" w:line="202" w:lineRule="auto"/>
        <w:framePr w:w="360" w:h="134" w:wrap="auto" w:vAnchor="page" w:hAnchor="page" w:x="10080" w:y="7635"/>
        <w:rPr>
          <w:rFonts w:ascii="Calibri" w:cs="Calibri" w:eastAsia="Calibri" w:hAnsi="Calibri"/>
          <w:sz w:val="13"/>
          <w:szCs w:val="13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  <w:highlight w:val="lightGray"/>
        </w:rPr>
        <w:t xml:space="preserve">NIE DOTYCZY</w:t>
      </w:r>
    </w:p>
    <w:p>
      <w:pPr xmlns:w="http://schemas.openxmlformats.org/wordprocessingml/2006/main">
        <w:spacing w:after="0" w:line="192" w:lineRule="auto"/>
        <w:framePr w:w="1900" w:h="352" w:wrap="auto" w:vAnchor="page" w:hAnchor="page" w:x="7920" w:y="7417"/>
        <w:rPr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Nie ma 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opłaty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 za zarządzanie</w:t>
      </w:r>
    </w:p>
    <w:p>
      <w:pPr xmlns:w="http://schemas.openxmlformats.org/wordprocessingml/2006/main">
        <w:spacing w:after="0" w:line="202" w:lineRule="auto"/>
        <w:framePr w:w="1120" w:h="134" w:wrap="auto" w:vAnchor="page" w:hAnchor="page" w:x="6380" w:y="6737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Koszty Bieżące</w:t>
      </w:r>
    </w:p>
    <w:p>
      <w:pPr xmlns:w="http://schemas.openxmlformats.org/wordprocessingml/2006/main">
        <w:spacing w:after="0" w:line="216" w:lineRule="auto"/>
        <w:framePr w:w="1340" w:h="791" w:wrap="auto" w:vAnchor="page" w:hAnchor="page" w:x="6380" w:y="6977"/>
        <w:rPr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Opłaty za zarządzanie i inne koszty administracyjne lub operacyjne</w:t>
      </w:r>
    </w:p>
    <w:p>
      <w:pPr xmlns:w="http://schemas.openxmlformats.org/wordprocessingml/2006/main">
        <w:spacing w:after="0" w:line="193" w:lineRule="auto"/>
        <w:framePr w:w="1200" w:h="355" w:wrap="auto" w:vAnchor="page" w:hAnchor="page" w:x="10080" w:y="6517"/>
        <w:rPr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Kwota (w dowolnym momencie)</w:t>
      </w:r>
    </w:p>
    <w:p>
      <w:pPr xmlns:w="http://schemas.openxmlformats.org/wordprocessingml/2006/main">
        <w:spacing w:after="0" w:line="202" w:lineRule="auto"/>
        <w:framePr w:w="1720" w:h="134" w:wrap="auto" w:vAnchor="page" w:hAnchor="page" w:x="7920" w:y="6279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Premium, Komisja</w:t>
      </w:r>
    </w:p>
    <w:p>
      <w:pPr xmlns:w="http://schemas.openxmlformats.org/wordprocessingml/2006/main">
        <w:spacing w:after="0" w:line="202" w:lineRule="auto"/>
        <w:framePr w:w="680" w:h="134" w:wrap="auto" w:vAnchor="page" w:hAnchor="page" w:x="10080" w:y="6279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Zmienna</w:t>
      </w:r>
    </w:p>
    <w:p>
      <w:pPr xmlns:w="http://schemas.openxmlformats.org/wordprocessingml/2006/main">
        <w:spacing w:after="0" w:line="202" w:lineRule="auto"/>
        <w:framePr w:w="680" w:h="134" w:wrap="auto" w:vAnchor="page" w:hAnchor="page" w:x="10080" w:y="5600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Zmienna</w:t>
      </w:r>
    </w:p>
    <w:p>
      <w:pPr xmlns:w="http://schemas.openxmlformats.org/wordprocessingml/2006/main">
        <w:spacing w:after="0" w:line="221" w:lineRule="auto"/>
        <w:framePr w:w="1260" w:h="575" w:wrap="auto" w:vAnchor="page" w:hAnchor="page" w:x="6380" w:y="5158"/>
        <w:rPr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Koszty wejścia (na transakcję - otwarcie (wejście))</w:t>
      </w:r>
    </w:p>
    <w:p>
      <w:pPr xmlns:w="http://schemas.openxmlformats.org/wordprocessingml/2006/main">
        <w:spacing w:after="0" w:line="221" w:lineRule="auto"/>
        <w:framePr w:w="1120" w:h="575" w:wrap="auto" w:vAnchor="page" w:hAnchor="page" w:x="6380" w:y="5837"/>
        <w:rPr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Koszty wyjścia (na transakcję - zamknięcie (wyjście))</w:t>
      </w:r>
    </w:p>
    <w:p>
      <w:pPr xmlns:w="http://schemas.openxmlformats.org/wordprocessingml/2006/main">
        <w:spacing w:after="0" w:line="202" w:lineRule="auto"/>
        <w:framePr w:w="1220" w:h="134" w:wrap="auto" w:vAnchor="page" w:hAnchor="page" w:x="10080" w:y="4700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Kwota (początkowa)</w:t>
      </w:r>
    </w:p>
    <w:p>
      <w:pPr xmlns:w="http://schemas.openxmlformats.org/wordprocessingml/2006/main">
        <w:spacing w:after="0" w:line="202" w:lineRule="auto"/>
        <w:framePr w:w="2420" w:h="134" w:wrap="auto" w:vAnchor="page" w:hAnchor="page" w:x="6380" w:y="4700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Jednorazowe koszty przy wjeździe lub wyjeździe</w:t>
      </w:r>
    </w:p>
    <w:p>
      <w:pPr xmlns:w="http://schemas.openxmlformats.org/wordprocessingml/2006/main">
        <w:spacing w:after="0" w:line="229" w:lineRule="auto"/>
        <w:framePr w:w="1920" w:h="794" w:wrap="auto" w:vAnchor="page" w:hAnchor="page" w:x="7920" w:y="4940"/>
        <w:rPr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Premia (ustalana przez kupującego i sprzedającego), prowizja (ustalana przez biuro maklerskie)</w:t>
      </w:r>
    </w:p>
    <w:p>
      <w:pPr xmlns:w="http://schemas.openxmlformats.org/wordprocessingml/2006/main">
        <w:spacing w:after="0" w:line="189" w:lineRule="auto"/>
        <w:framePr w:w="1660" w:h="125" w:wrap="auto" w:vAnchor="page" w:hAnchor="page" w:x="6380" w:y="4437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Struktura kosztów</w:t>
      </w:r>
    </w:p>
    <w:p>
      <w:pPr xmlns:w="http://schemas.openxmlformats.org/wordprocessingml/2006/main">
        <w:spacing w:after="0" w:line="202" w:lineRule="auto"/>
        <w:framePr w:w="1500" w:h="134" w:wrap="auto" w:vAnchor="page" w:hAnchor="page" w:x="6380" w:y="3910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Roczny wpływ na koszty</w:t>
      </w:r>
    </w:p>
    <w:p>
      <w:pPr xmlns:w="http://schemas.openxmlformats.org/wordprocessingml/2006/main">
        <w:spacing w:after="0" w:line="202" w:lineRule="auto"/>
        <w:framePr w:w="620" w:h="134" w:wrap="auto" w:vAnchor="page" w:hAnchor="page" w:x="10080" w:y="3910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Różne</w:t>
      </w:r>
    </w:p>
    <w:p>
      <w:pPr xmlns:w="http://schemas.openxmlformats.org/wordprocessingml/2006/main">
        <w:spacing w:after="0" w:line="202" w:lineRule="auto"/>
        <w:framePr w:w="880" w:h="134" w:wrap="auto" w:vAnchor="page" w:hAnchor="page" w:x="6380" w:y="3639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Koszty ogółem</w:t>
      </w:r>
    </w:p>
    <w:p>
      <w:pPr xmlns:w="http://schemas.openxmlformats.org/wordprocessingml/2006/main">
        <w:spacing w:after="0" w:line="202" w:lineRule="auto"/>
        <w:framePr w:w="620" w:h="134" w:wrap="auto" w:vAnchor="page" w:hAnchor="page" w:x="10080" w:y="3639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Różne</w:t>
      </w:r>
    </w:p>
    <w:p>
      <w:pPr xmlns:w="http://schemas.openxmlformats.org/wordprocessingml/2006/main">
        <w:spacing w:after="0" w:line="189" w:lineRule="auto"/>
        <w:framePr w:w="1300" w:h="125" w:wrap="auto" w:vAnchor="page" w:hAnchor="page" w:x="6380" w:y="3379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Koszty W Czasie</w:t>
      </w:r>
    </w:p>
    <w:p>
      <w:pPr xmlns:w="http://schemas.openxmlformats.org/wordprocessingml/2006/main">
        <w:spacing w:after="0" w:line="202" w:lineRule="auto"/>
        <w:framePr w:w="800" w:h="134" w:wrap="auto" w:vAnchor="page" w:hAnchor="page" w:x="10080" w:y="3370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Zakończenie pracy</w:t>
      </w:r>
    </w:p>
    <w:p>
      <w:pPr xmlns:w="http://schemas.openxmlformats.org/wordprocessingml/2006/main">
        <w:ind w:left="22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368300</wp:posOffset>
                </wp:positionV>
                <wp:extent cx="6962140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29pt" to="582.6pt,29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4015740</wp:posOffset>
                </wp:positionH>
                <wp:positionV relativeFrom="page">
                  <wp:posOffset>2096770</wp:posOffset>
                </wp:positionV>
                <wp:extent cx="2330450" cy="15875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330450" cy="15875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2" o:spid="_x0000_s1047" style="position:absolute;margin-left:316.2pt;margin-top:165.1pt;width:183.5pt;height:12.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ADADA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4076700</wp:posOffset>
                </wp:positionH>
                <wp:positionV relativeFrom="page">
                  <wp:posOffset>2115185</wp:posOffset>
                </wp:positionV>
                <wp:extent cx="2206625" cy="13970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206625" cy="13970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3" o:spid="_x0000_s1048" style="position:absolute;margin-left:321pt;margin-top:166.55pt;width:173.75pt;height:1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ADADA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6351905</wp:posOffset>
                </wp:positionH>
                <wp:positionV relativeFrom="page">
                  <wp:posOffset>2096770</wp:posOffset>
                </wp:positionV>
                <wp:extent cx="958850" cy="15875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958850" cy="15875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4" o:spid="_x0000_s1049" style="position:absolute;margin-left:500.15pt;margin-top:165.1pt;width:75.5pt;height:12.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ADADA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6420485</wp:posOffset>
                </wp:positionH>
                <wp:positionV relativeFrom="page">
                  <wp:posOffset>2115185</wp:posOffset>
                </wp:positionV>
                <wp:extent cx="827405" cy="13970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827405" cy="13970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5" o:spid="_x0000_s1050" style="position:absolute;margin-left:505.55pt;margin-top:166.55pt;width:65.15pt;height:1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ADADA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4001770</wp:posOffset>
                </wp:positionH>
                <wp:positionV relativeFrom="page">
                  <wp:posOffset>2089150</wp:posOffset>
                </wp:positionV>
                <wp:extent cx="3321050" cy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15.1pt,164.5pt" to="576.6pt,164.5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4001770</wp:posOffset>
                </wp:positionH>
                <wp:positionV relativeFrom="page">
                  <wp:posOffset>2261235</wp:posOffset>
                </wp:positionV>
                <wp:extent cx="3321050" cy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15.1pt,178.05pt" to="576.6pt,178.05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4001770</wp:posOffset>
                </wp:positionH>
                <wp:positionV relativeFrom="page">
                  <wp:posOffset>2432050</wp:posOffset>
                </wp:positionV>
                <wp:extent cx="3321050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15.1pt,191.5pt" to="576.6pt,191.5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6351905</wp:posOffset>
                </wp:positionH>
                <wp:positionV relativeFrom="page">
                  <wp:posOffset>2077085</wp:posOffset>
                </wp:positionV>
                <wp:extent cx="0" cy="52705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527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00.15pt,163.55pt" to="500.15pt,205.05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7316470</wp:posOffset>
                </wp:positionH>
                <wp:positionV relativeFrom="page">
                  <wp:posOffset>2077085</wp:posOffset>
                </wp:positionV>
                <wp:extent cx="0" cy="52705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527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6.1pt,163.55pt" to="576.1pt,205.05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4007485</wp:posOffset>
                </wp:positionH>
                <wp:positionV relativeFrom="page">
                  <wp:posOffset>2077085</wp:posOffset>
                </wp:positionV>
                <wp:extent cx="0" cy="52705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527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15.55pt,163.55pt" to="315.55pt,205.05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2079625</wp:posOffset>
                </wp:positionV>
                <wp:extent cx="6962140" cy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163.75pt" to="582.6pt,163.7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6009005</wp:posOffset>
                </wp:positionV>
                <wp:extent cx="6962140" cy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473.15pt" to="582.6pt,473.1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7549515</wp:posOffset>
                </wp:positionV>
                <wp:extent cx="6962140" cy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594.45pt" to="582.6pt,594.4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440055</wp:posOffset>
                </wp:positionH>
                <wp:positionV relativeFrom="page">
                  <wp:posOffset>365125</wp:posOffset>
                </wp:positionV>
                <wp:extent cx="0" cy="8961755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61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65pt,28.75pt" to="34.65pt,734.4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7395845</wp:posOffset>
                </wp:positionH>
                <wp:positionV relativeFrom="page">
                  <wp:posOffset>365125</wp:posOffset>
                </wp:positionV>
                <wp:extent cx="0" cy="8961755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61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2.35pt,28.75pt" to="582.35pt,734.4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stosowane przez UOKiK zostały zaprojektowane w taki sposób, aby wyniki uzyskiwane na wszystkich opcjach terminowych były pomiędzy UOKiK a grupą firm maklerskich zwanych członkami rozliczającymi, które przenoszą pozycje wszystkich posiadaczy i emitentów opcji terminowych na swoje rachunki UOKiK.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muszą spełniać wymogi finansowe UOKiK w zakresie uczestnictwa oraz ustanawiać zabezpieczenia dla pozycji emitentów opcji, które są przez nich notowane.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emitenta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wsparcie realizacji opcji oraz zarządzanie ryzykiem kontrahenta, aby ułatwić rozrachunek transakcji opcjami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 i możesz ponieść stratę do każdej kwoty należnej.</w:t>
      </w:r>
    </w:p>
    <w:p>
      <w:pPr>
        <w:spacing w:after="0" w:line="77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48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Jakie są koszty?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Osoba doradzająca lub sprzedająca Ci ten produkt może naliczyć Ci inne koszty.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Jeśli tak, ta osoba</w:t>
      </w:r>
    </w:p>
    <w:p>
      <w:pPr>
        <w:spacing w:after="0" w:line="68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70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przekaże Ci informacje o tych kosztach i ich wpływie na Twoją inwestycję.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Łączne koszty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3633470</wp:posOffset>
                </wp:positionH>
                <wp:positionV relativeFrom="paragraph">
                  <wp:posOffset>-149860</wp:posOffset>
                </wp:positionV>
                <wp:extent cx="3321050" cy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6.1pt,-11.7999pt" to="547.6pt,-11.7999pt" o:allowincell="f" strokecolor="#000000" strokeweight="0.48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3647440</wp:posOffset>
                </wp:positionH>
                <wp:positionV relativeFrom="paragraph">
                  <wp:posOffset>17780</wp:posOffset>
                </wp:positionV>
                <wp:extent cx="3295015" cy="158115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015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8" o:spid="_x0000_s1063" style="position:absolute;margin-left:287.2pt;margin-top:1.4pt;width:259.45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3708400</wp:posOffset>
                </wp:positionH>
                <wp:positionV relativeFrom="paragraph">
                  <wp:posOffset>36830</wp:posOffset>
                </wp:positionV>
                <wp:extent cx="3171190" cy="139065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190" cy="13906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9" o:spid="_x0000_s1064" style="position:absolute;margin-left:292pt;margin-top:2.9pt;width:249.7pt;height:1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3633470</wp:posOffset>
                </wp:positionH>
                <wp:positionV relativeFrom="paragraph">
                  <wp:posOffset>13970</wp:posOffset>
                </wp:positionV>
                <wp:extent cx="3321050" cy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6.1pt,1.1pt" to="547.6pt,1.1pt" o:allowincell="f" strokecolor="#000000" strokeweight="0.47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3633470</wp:posOffset>
                </wp:positionH>
                <wp:positionV relativeFrom="paragraph">
                  <wp:posOffset>181610</wp:posOffset>
                </wp:positionV>
                <wp:extent cx="3321050" cy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6.1pt,14.3pt" to="547.6pt,14.3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3633470</wp:posOffset>
                </wp:positionH>
                <wp:positionV relativeFrom="paragraph">
                  <wp:posOffset>354330</wp:posOffset>
                </wp:positionV>
                <wp:extent cx="3321050" cy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" o:spid="_x0000_s106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6.1pt,27.9pt" to="547.6pt,27.9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3633470</wp:posOffset>
                </wp:positionH>
                <wp:positionV relativeFrom="paragraph">
                  <wp:posOffset>925830</wp:posOffset>
                </wp:positionV>
                <wp:extent cx="3321050" cy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6.1pt,72.9pt" to="547.6pt,72.9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4612005</wp:posOffset>
                </wp:positionH>
                <wp:positionV relativeFrom="paragraph">
                  <wp:posOffset>347980</wp:posOffset>
                </wp:positionV>
                <wp:extent cx="0" cy="101473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014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63.15pt,27.4pt" to="363.15pt,107.3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3633470</wp:posOffset>
                </wp:positionH>
                <wp:positionV relativeFrom="paragraph">
                  <wp:posOffset>1356995</wp:posOffset>
                </wp:positionV>
                <wp:extent cx="3321050" cy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6.1pt,106.85pt" to="547.6pt,106.8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3633470</wp:posOffset>
                </wp:positionH>
                <wp:positionV relativeFrom="paragraph">
                  <wp:posOffset>1647825</wp:posOffset>
                </wp:positionV>
                <wp:extent cx="3321050" cy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" o:spid="_x0000_s107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6.1pt,129.75pt" to="547.6pt,129.7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3633470</wp:posOffset>
                </wp:positionH>
                <wp:positionV relativeFrom="paragraph">
                  <wp:posOffset>2218055</wp:posOffset>
                </wp:positionV>
                <wp:extent cx="3321050" cy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" o:spid="_x0000_s107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6.1pt,174.65pt" to="547.6pt,174.6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4612005</wp:posOffset>
                </wp:positionH>
                <wp:positionV relativeFrom="paragraph">
                  <wp:posOffset>1642110</wp:posOffset>
                </wp:positionV>
                <wp:extent cx="0" cy="101346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0134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" o:spid="_x0000_s107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63.15pt,129.3pt" to="363.15pt,209.1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3633470</wp:posOffset>
                </wp:positionH>
                <wp:positionV relativeFrom="paragraph">
                  <wp:posOffset>2649220</wp:posOffset>
                </wp:positionV>
                <wp:extent cx="3321050" cy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7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6.1pt,208.6pt" to="547.6pt,208.6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3633470</wp:posOffset>
                </wp:positionH>
                <wp:positionV relativeFrom="paragraph">
                  <wp:posOffset>2846070</wp:posOffset>
                </wp:positionV>
                <wp:extent cx="3321050" cy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7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6.1pt,224.1pt" to="547.6pt,224.1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3639185</wp:posOffset>
                </wp:positionH>
                <wp:positionV relativeFrom="paragraph">
                  <wp:posOffset>11430</wp:posOffset>
                </wp:positionV>
                <wp:extent cx="0" cy="303530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0353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7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6.55pt,0.9pt" to="286.55pt,239.9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6948170</wp:posOffset>
                </wp:positionH>
                <wp:positionV relativeFrom="paragraph">
                  <wp:posOffset>11430</wp:posOffset>
                </wp:positionV>
                <wp:extent cx="0" cy="303530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0353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47.1pt,0.9pt" to="547.1pt,239.9pt" o:allowincell="f" strokecolor="#000000" strokeweight="0.9599pt"/>
            </w:pict>
          </mc:Fallback>
        </mc:AlternateContent>
      </w:r>
    </w:p>
    <w:p>
      <w:pPr>
        <w:spacing w:after="0" w:line="48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44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Opcje terminowe zależą od wielu czynników.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Premia opcyjna jest kosztem zapłaconym przez posiadacza na rzecz emitenta.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mające istotny wpływ na premię obejmują między innymi wartość odsetek bazowych, czas do wygaśnięcia oraz cenę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opcje wiąże się z dodatkowymi kosztami, które obejmują kwestie podatkowe, koszty transakcji i wymogi dotyczące marży, które mogą znacząco wpłynąć na zysk lub stratę.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Na koszty transakcyjne składają się przede wszystkim prowizje (które są nakładane w momencie otwarcia,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3647440</wp:posOffset>
                </wp:positionH>
                <wp:positionV relativeFrom="paragraph">
                  <wp:posOffset>-1342390</wp:posOffset>
                </wp:positionV>
                <wp:extent cx="2330450" cy="158115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0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3" o:spid="_x0000_s1078" style="position:absolute;margin-left:287.2pt;margin-top:-105.6999pt;width:183.5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3708400</wp:posOffset>
                </wp:positionH>
                <wp:positionV relativeFrom="paragraph">
                  <wp:posOffset>-1324610</wp:posOffset>
                </wp:positionV>
                <wp:extent cx="2206625" cy="140335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6625" cy="14033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4" o:spid="_x0000_s1079" style="position:absolute;margin-left:292pt;margin-top:-104.2999pt;width:173.75pt;height:1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5983605</wp:posOffset>
                </wp:positionH>
                <wp:positionV relativeFrom="paragraph">
                  <wp:posOffset>-1342390</wp:posOffset>
                </wp:positionV>
                <wp:extent cx="958850" cy="158115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0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5" o:spid="_x0000_s1080" style="position:absolute;margin-left:471.15pt;margin-top:-105.6999pt;width:75.5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6052185</wp:posOffset>
                </wp:positionH>
                <wp:positionV relativeFrom="paragraph">
                  <wp:posOffset>-1324610</wp:posOffset>
                </wp:positionV>
                <wp:extent cx="827405" cy="140335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14033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6" o:spid="_x0000_s1081" style="position:absolute;margin-left:476.55pt;margin-top:-104.2999pt;width:65.15pt;height:1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3647440</wp:posOffset>
                </wp:positionH>
                <wp:positionV relativeFrom="paragraph">
                  <wp:posOffset>-168910</wp:posOffset>
                </wp:positionV>
                <wp:extent cx="2330450" cy="27813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0" cy="27813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7" o:spid="_x0000_s1082" style="position:absolute;margin-left:287.2pt;margin-top:-13.2999pt;width:183.5pt;height:21.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3708400</wp:posOffset>
                </wp:positionH>
                <wp:positionV relativeFrom="paragraph">
                  <wp:posOffset>-21590</wp:posOffset>
                </wp:positionV>
                <wp:extent cx="2206625" cy="130175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6625" cy="13017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8" o:spid="_x0000_s1083" style="position:absolute;margin-left:292pt;margin-top:-1.6999pt;width:173.75pt;height:10.2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5983605</wp:posOffset>
                </wp:positionH>
                <wp:positionV relativeFrom="paragraph">
                  <wp:posOffset>-168910</wp:posOffset>
                </wp:positionV>
                <wp:extent cx="958850" cy="27813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0" cy="27813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9" o:spid="_x0000_s1084" style="position:absolute;margin-left:471.15pt;margin-top:-13.2999pt;width:75.5pt;height:21.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5983605</wp:posOffset>
                </wp:positionH>
                <wp:positionV relativeFrom="paragraph">
                  <wp:posOffset>1123950</wp:posOffset>
                </wp:positionV>
                <wp:extent cx="958850" cy="18288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0" cy="18288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0" o:spid="_x0000_s1085" style="position:absolute;margin-left:471.15pt;margin-top:88.5pt;width:75.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6052185</wp:posOffset>
                </wp:positionH>
                <wp:positionV relativeFrom="paragraph">
                  <wp:posOffset>1170940</wp:posOffset>
                </wp:positionV>
                <wp:extent cx="827405" cy="13589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13589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1" o:spid="_x0000_s1086" style="position:absolute;margin-left:476.55pt;margin-top:92.2pt;width:65.15pt;height:10.7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5983605</wp:posOffset>
                </wp:positionH>
                <wp:positionV relativeFrom="paragraph">
                  <wp:posOffset>-1356360</wp:posOffset>
                </wp:positionV>
                <wp:extent cx="0" cy="287020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8702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2" o:spid="_x0000_s108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71.15pt,-106.7999pt" to="471.15pt,119.2pt" o:allowincell="f" strokecolor="#000000" strokeweight="0.96pt"/>
            </w:pict>
          </mc:Fallback>
        </mc:AlternateContent>
      </w:r>
    </w:p>
    <w:p>
      <w:pPr>
        <w:spacing w:after="0" w:line="5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460"/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transakcji zamknięcia, wykonania i cesji), ale mogą również obejmować koszty marży i odsetek.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Depozyt zabezpieczający oznacza aktywa, które emitent musi zdeponować w swojej firmie maklerskiej jako zabezpieczenie zobowiązania, stosownie do przypadku, do zakupu lub sprzedaży bazowych odsetek lub zapłaty kwoty rozliczenia gotówkowego.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wykonania i przypisania opcji emitent może ponieść dodatkowe koszty związane z</w:t>
      </w:r>
    </w:p>
    <w:p>
      <w:pPr>
        <w:spacing w:after="0" w:line="7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5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bazowy kontrakt terminowy typu futures.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Oddzielnie od kosztów inwestorskich UOKiK pobiera związane z tym produktem opłaty za rozliczenie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4612005</wp:posOffset>
                </wp:positionH>
                <wp:positionV relativeFrom="paragraph">
                  <wp:posOffset>-229235</wp:posOffset>
                </wp:positionV>
                <wp:extent cx="0" cy="207645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076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3" o:spid="_x0000_s108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63.15pt,-18.0499pt" to="363.15pt,-1.6999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3633470</wp:posOffset>
                </wp:positionH>
                <wp:positionV relativeFrom="paragraph">
                  <wp:posOffset>-27940</wp:posOffset>
                </wp:positionV>
                <wp:extent cx="3321050" cy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4" o:spid="_x0000_s10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6.1pt,-2.1999pt" to="547.6pt,-2.1999pt" o:allowincell="f" strokecolor="#000000" strokeweight="0.9599pt"/>
            </w:pict>
          </mc:Fallback>
        </mc:AlternateContent>
      </w: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rozliczanie członków, ale nie bezpośrednio do Ciebie: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https://www.theocc.com/company-information/schedule-of-fees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1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mam go trzymać i czy mogę wcześnie wyjść z transakcji (czy mogę wcześniej wyjąć pieniądze)?</w:t>
      </w:r>
    </w:p>
    <w:p>
      <w:pPr>
        <w:spacing w:after="0" w:line="67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Decyzja o wykonaniu opcji terminowej jest dla posiadacza kluczową decyzją inwestycyjną, podobnie jak decyzja posiadaczy opcji i emitentów o zamknięciu istniejącej pozycji opcyjnej przed wygaśnięciem opcji lub jej wykonaniem i przypisaniem poprzez zawarcie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związku z tym inwestorzy ponoszą wyłączną odpowiedzialność za ustalenie, czy i kiedy powinni wykonać kontrakt (kontrakty) opcyjne typu futures lub czy zamknąć istniejącą pozycję.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zamykają istniejącą pozycję opcji terminowych, rezygnują z wszelkich późniejszych zysków lub strat związanych z tą opcją.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opcje mają datę wygaśnięcia, po której opcja nie będzie miała wartości i nie będzie już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Posiadacze opcji w stylu amerykańskim, którzy chcą skorzystać z nich przed upływem terminu ważności, mogą to zrobić, przekazując brokerowi instrukcje dotyczące wykonania opcji, zgodnie z procedurą brokera.</w:t>
      </w:r>
    </w:p>
    <w:p>
      <w:pPr>
        <w:spacing w:after="0" w:line="8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4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 skargę do Urzędu Regulacji Sektora Finansowego ("FINRA")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http://www.finra.org/investors/investor-complaint-center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), SEC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https://www.sec.gov/oiea/Complaint.html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), NFA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https://www.nfa.futures.org/basicnet/complaint.aspx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 lub CFTC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http://www.cftc.gov/ConsumerProtection/FileaTiporComplaint/index.htm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).</w:t>
      </w:r>
    </w:p>
    <w:p>
      <w:pPr>
        <w:spacing w:after="0" w:line="5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tbl>
      <w:tblPr>
        <w:tblLayout w:type="fixed"/>
        <w:tblInd w:w="3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4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Skarga FINRA Investor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Amerykańskie Papiery Wartościowe i Giełdy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Krajowe Stowarzyszenie Kontraktów Terminowych</w:t>
            </w: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  <w:w w:val="98"/>
              </w:rPr>
              <w:t xml:space="preserve">Kontrakty terminowe na towary ze Stanów Zjednoczonych</w:t>
            </w:r>
          </w:p>
        </w:tc>
      </w:tr>
      <w:tr>
        <w:trPr>
          <w:trHeight w:val="242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Wyśrodkowanie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Komisja/Urząd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300 S. Riverside Plaza, #1800</w:t>
            </w: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Komisja Handlowa</w:t>
            </w:r>
          </w:p>
        </w:tc>
      </w:tr>
      <w:tr>
        <w:trPr>
          <w:trHeight w:val="245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9509 Key West Avenue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Edukacja inwestorska i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Chicago, IL 60606-6615</w:t>
            </w: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Centrum Trzech Lafayette</w:t>
            </w:r>
          </w:p>
        </w:tc>
      </w:tr>
      <w:tr>
        <w:trPr>
          <w:trHeight w:val="245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Rockville, MD 20850-3329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Rzecznictwo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Telefon: 312-781-1300</w:t>
            </w: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1155 21st Street, NW</w:t>
            </w:r>
          </w:p>
        </w:tc>
      </w:tr>
      <w:tr>
        <w:trPr>
          <w:trHeight w:val="245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Telefon: (240) 386-HELP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100 F Street, Gdzie Indziej Niewymienione.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Faks: 312-781-1467</w:t>
            </w: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Waszyngton, DC 20581</w:t>
            </w:r>
          </w:p>
        </w:tc>
      </w:tr>
      <w:tr>
        <w:trPr>
          <w:trHeight w:val="242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(4357)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Waszyngton, DC 20549-0213</w:t>
            </w: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Telefon: 866-366-2382</w:t>
            </w:r>
          </w:p>
        </w:tc>
      </w:tr>
      <w:tr>
        <w:trPr>
          <w:trHeight w:val="245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Faks: (866) 397-3290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Faks: (202) 772-9295</w:t>
            </w: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Faks: 202-418-5521</w:t>
            </w:r>
          </w:p>
        </w:tc>
      </w:tr>
    </w:tbl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14605</wp:posOffset>
                </wp:positionV>
                <wp:extent cx="6962140" cy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5" o:spid="_x0000_s10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.4pt,1.15pt" to="553.6pt,1.15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920"/>
          </w:cols>
          <w:pgMar w:left="580" w:top="630" w:right="740" w:bottom="341" w:gutter="0" w:footer="0" w:header="0"/>
        </w:sectPr>
      </w:pPr>
    </w:p>
    <w:p>
      <w:pPr>
        <w:spacing w:after="0" w:line="19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1"/>
          <w:szCs w:val="21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1"/>
          <w:szCs w:val="21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920"/>
      </w:cols>
      <w:pgMar w:left="580" w:top="630" w:right="740" w:bottom="341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9E1ABCF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DE06CFB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1F6BE143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Relationship Id="rId15" Type="http://schemas.openxmlformats.org/officeDocument/2006/relationships/image" Target="media/image4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2024-05-21T09:26:13Z</dcterms:created>
  <dcterms:modified xsi:type="dcterms:W3CDTF">2024-05-21T09:26:13Z</dcterms:modified>
</cp:coreProperties>
</file>